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94"/>
      </w:tblGrid>
      <w:tr w:rsidR="00AE64FE" w:rsidRPr="00FF3766" w:rsidTr="00F21A77">
        <w:tc>
          <w:tcPr>
            <w:tcW w:w="4777" w:type="dxa"/>
          </w:tcPr>
          <w:p w:rsidR="00AE64FE" w:rsidRPr="00FF3766" w:rsidRDefault="00AE64FE" w:rsidP="00951C96">
            <w:pPr>
              <w:ind w:left="0"/>
              <w:jc w:val="left"/>
              <w:rPr>
                <w:rFonts w:ascii="Arial" w:eastAsia="Cambria" w:hAnsi="Arial" w:cs="Arial"/>
                <w:b/>
                <w:sz w:val="18"/>
                <w:szCs w:val="18"/>
                <w:lang w:val="en-US"/>
              </w:rPr>
            </w:pPr>
          </w:p>
          <w:p w:rsidR="00AE64FE" w:rsidRPr="00FF3766" w:rsidRDefault="00DF0CA5" w:rsidP="00951C96">
            <w:pPr>
              <w:ind w:left="0"/>
              <w:jc w:val="left"/>
              <w:rPr>
                <w:rFonts w:ascii="Arial" w:eastAsia="Cambria" w:hAnsi="Arial" w:cs="Arial"/>
                <w:sz w:val="18"/>
                <w:szCs w:val="18"/>
                <w:lang w:val="en-US"/>
              </w:rPr>
            </w:pPr>
            <w:r w:rsidRPr="00FF3766">
              <w:rPr>
                <w:rFonts w:ascii="Arial" w:eastAsia="Cambria" w:hAnsi="Arial" w:cs="Arial"/>
                <w:b/>
                <w:sz w:val="18"/>
                <w:szCs w:val="18"/>
                <w:lang w:val="en-US"/>
              </w:rPr>
              <w:t>Bats</w:t>
            </w:r>
            <w:r w:rsidR="00AE64FE" w:rsidRPr="00FF3766">
              <w:rPr>
                <w:rFonts w:ascii="Arial" w:eastAsia="Cambria" w:hAnsi="Arial" w:cs="Arial"/>
                <w:b/>
                <w:sz w:val="18"/>
                <w:szCs w:val="18"/>
                <w:lang w:val="en-US"/>
              </w:rPr>
              <w:t xml:space="preserve"> Global Markets. Subscriber Agreement</w:t>
            </w:r>
          </w:p>
          <w:p w:rsidR="00AE64FE" w:rsidRPr="00FF3766" w:rsidRDefault="00AE64FE" w:rsidP="00951C96">
            <w:pPr>
              <w:ind w:left="0"/>
              <w:rPr>
                <w:rFonts w:ascii="Arial" w:eastAsia="Cambria" w:hAnsi="Arial" w:cs="Arial"/>
                <w:sz w:val="18"/>
                <w:szCs w:val="18"/>
                <w:lang w:val="en-US"/>
              </w:rPr>
            </w:pPr>
            <w:r w:rsidRPr="00FF3766">
              <w:rPr>
                <w:rFonts w:ascii="Arial" w:eastAsia="Cambria" w:hAnsi="Arial" w:cs="Arial"/>
                <w:sz w:val="18"/>
                <w:szCs w:val="18"/>
                <w:lang w:val="en-US"/>
              </w:rPr>
              <w:t xml:space="preserve">DISCLOSURE - PLEASE READ </w:t>
            </w:r>
          </w:p>
          <w:p w:rsidR="00AE64FE" w:rsidRPr="00FF3766" w:rsidRDefault="00AE64FE" w:rsidP="00951C96">
            <w:pPr>
              <w:ind w:left="0"/>
              <w:rPr>
                <w:rFonts w:ascii="Arial" w:eastAsia="Cambria" w:hAnsi="Arial" w:cs="Arial"/>
                <w:sz w:val="18"/>
                <w:szCs w:val="18"/>
                <w:lang w:val="en-US"/>
              </w:rPr>
            </w:pPr>
            <w:r w:rsidRPr="00FF3766">
              <w:rPr>
                <w:rFonts w:ascii="Arial" w:eastAsia="Cambria" w:hAnsi="Arial" w:cs="Arial"/>
                <w:sz w:val="18"/>
                <w:szCs w:val="18"/>
                <w:lang w:val="en-US"/>
              </w:rPr>
              <w:t xml:space="preserve"> </w:t>
            </w: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The Russian </w:t>
            </w:r>
            <w:r w:rsidRPr="00FF3766">
              <w:rPr>
                <w:rFonts w:ascii="Arial" w:eastAsia="Cambria" w:hAnsi="Arial" w:cs="Arial"/>
                <w:iCs/>
                <w:sz w:val="18"/>
                <w:szCs w:val="18"/>
                <w:lang w:val="en-US"/>
              </w:rPr>
              <w:t>translation is for convenience only</w:t>
            </w:r>
            <w:r w:rsidRPr="00FF3766">
              <w:rPr>
                <w:rFonts w:ascii="Arial" w:eastAsia="Cambria" w:hAnsi="Arial" w:cs="Arial"/>
                <w:sz w:val="18"/>
                <w:szCs w:val="18"/>
                <w:lang w:val="en-US"/>
              </w:rPr>
              <w:t>. In case of any legal dispute, reference must be made to the English version, as legally binding.</w:t>
            </w:r>
          </w:p>
          <w:p w:rsidR="00AE64FE" w:rsidRPr="00FF3766" w:rsidRDefault="00AE64FE" w:rsidP="00951C96">
            <w:pPr>
              <w:tabs>
                <w:tab w:val="left" w:pos="284"/>
              </w:tabs>
              <w:ind w:left="0"/>
              <w:rPr>
                <w:rFonts w:ascii="Arial" w:eastAsia="Cambria" w:hAnsi="Arial" w:cs="Arial"/>
                <w:sz w:val="18"/>
                <w:szCs w:val="18"/>
                <w:lang w:val="en-US"/>
              </w:rPr>
            </w:pPr>
          </w:p>
          <w:p w:rsidR="00F5252F" w:rsidRPr="007E3DC5" w:rsidRDefault="00F5252F" w:rsidP="00951C96">
            <w:pPr>
              <w:tabs>
                <w:tab w:val="left" w:pos="284"/>
              </w:tabs>
              <w:ind w:left="0"/>
              <w:rPr>
                <w:rFonts w:ascii="Arial" w:eastAsia="Cambria" w:hAnsi="Arial" w:cs="Arial"/>
                <w:sz w:val="18"/>
                <w:szCs w:val="18"/>
                <w:lang w:val="en-US"/>
              </w:rPr>
            </w:pPr>
          </w:p>
          <w:p w:rsidR="007F1B28" w:rsidRPr="007E3DC5" w:rsidRDefault="007F1B28"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may not modify or waive any term of this Agreement. Any attempt to modify this Agreement, except by </w:t>
            </w:r>
            <w:r w:rsidR="00627232" w:rsidRPr="00FF3766">
              <w:rPr>
                <w:rFonts w:ascii="Arial" w:eastAsia="Cambria" w:hAnsi="Arial" w:cs="Arial"/>
                <w:sz w:val="18"/>
                <w:szCs w:val="18"/>
                <w:lang w:val="en-US"/>
              </w:rPr>
              <w:t xml:space="preserve">Market Data Express, LLC </w:t>
            </w:r>
            <w:r w:rsidRPr="00FF3766">
              <w:rPr>
                <w:rFonts w:ascii="Arial" w:eastAsia="Cambria" w:hAnsi="Arial" w:cs="Arial"/>
                <w:sz w:val="18"/>
                <w:szCs w:val="18"/>
                <w:lang w:val="en-US"/>
              </w:rPr>
              <w:t>or its affiliates (collectively,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is void.</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This </w:t>
            </w:r>
            <w:r w:rsidR="00DF0CA5" w:rsidRPr="00FF3766">
              <w:rPr>
                <w:rFonts w:ascii="Arial" w:eastAsia="Cambria" w:hAnsi="Arial" w:cs="Arial"/>
                <w:caps/>
                <w:sz w:val="18"/>
                <w:szCs w:val="18"/>
                <w:lang w:val="en-US"/>
              </w:rPr>
              <w:t>Bats</w:t>
            </w:r>
            <w:r w:rsidRPr="00FF3766">
              <w:rPr>
                <w:rFonts w:ascii="Arial" w:eastAsia="Cambria" w:hAnsi="Arial" w:cs="Arial"/>
                <w:sz w:val="18"/>
                <w:szCs w:val="18"/>
                <w:lang w:val="en-US"/>
              </w:rPr>
              <w:t xml:space="preserve"> Global</w:t>
            </w:r>
            <w:r w:rsidR="00627232" w:rsidRPr="00FF3766">
              <w:rPr>
                <w:rFonts w:ascii="Arial" w:eastAsia="Cambria" w:hAnsi="Arial" w:cs="Arial"/>
                <w:sz w:val="18"/>
                <w:szCs w:val="18"/>
                <w:lang w:val="en-US"/>
              </w:rPr>
              <w:t xml:space="preserve"> </w:t>
            </w:r>
            <w:r w:rsidRPr="00FF3766">
              <w:rPr>
                <w:rFonts w:ascii="Arial" w:eastAsia="Cambria" w:hAnsi="Arial" w:cs="Arial"/>
                <w:sz w:val="18"/>
                <w:szCs w:val="18"/>
                <w:lang w:val="en-US"/>
              </w:rPr>
              <w:t>Markets</w:t>
            </w:r>
            <w:r w:rsidR="00627232" w:rsidRPr="00FF3766">
              <w:rPr>
                <w:rFonts w:ascii="Arial" w:eastAsia="Cambria" w:hAnsi="Arial" w:cs="Arial"/>
                <w:sz w:val="18"/>
                <w:szCs w:val="18"/>
                <w:lang w:val="en-US"/>
              </w:rPr>
              <w:t xml:space="preserve"> </w:t>
            </w:r>
            <w:r w:rsidRPr="00FF3766">
              <w:rPr>
                <w:rFonts w:ascii="Arial" w:eastAsia="Cambria" w:hAnsi="Arial" w:cs="Arial"/>
                <w:sz w:val="18"/>
                <w:szCs w:val="18"/>
                <w:lang w:val="en-US"/>
              </w:rPr>
              <w:t xml:space="preserve">Subscriber Agreement (this "Agreement''), with an effective date as of the last date executed on the signature page hereof, is made by and between the </w:t>
            </w:r>
            <w:proofErr w:type="spellStart"/>
            <w:r w:rsidR="00F5252F" w:rsidRPr="00FF3766">
              <w:rPr>
                <w:rFonts w:ascii="Arial" w:eastAsia="Cambria" w:hAnsi="Arial" w:cs="Arial"/>
                <w:sz w:val="18"/>
                <w:szCs w:val="18"/>
                <w:lang w:val="en-US"/>
              </w:rPr>
              <w:t>Devexperts</w:t>
            </w:r>
            <w:proofErr w:type="spellEnd"/>
            <w:r w:rsidR="00F5252F" w:rsidRPr="00FF3766">
              <w:rPr>
                <w:rFonts w:ascii="Arial" w:eastAsia="Cambria" w:hAnsi="Arial" w:cs="Arial"/>
                <w:sz w:val="18"/>
                <w:szCs w:val="18"/>
                <w:lang w:val="en-US"/>
              </w:rPr>
              <w:t xml:space="preserve"> Inc., having its registered office at 2500 Plaza 5, </w:t>
            </w:r>
            <w:proofErr w:type="spellStart"/>
            <w:r w:rsidR="00F5252F" w:rsidRPr="00FF3766">
              <w:rPr>
                <w:rFonts w:ascii="Arial" w:eastAsia="Cambria" w:hAnsi="Arial" w:cs="Arial"/>
                <w:sz w:val="18"/>
                <w:szCs w:val="18"/>
                <w:lang w:val="en-US"/>
              </w:rPr>
              <w:t>Harborside</w:t>
            </w:r>
            <w:proofErr w:type="spellEnd"/>
            <w:r w:rsidR="00F5252F" w:rsidRPr="00FF3766">
              <w:rPr>
                <w:rFonts w:ascii="Arial" w:eastAsia="Cambria" w:hAnsi="Arial" w:cs="Arial"/>
                <w:sz w:val="18"/>
                <w:szCs w:val="18"/>
                <w:lang w:val="en-US"/>
              </w:rPr>
              <w:t xml:space="preserve"> Financial Center, Jersey City, NJ 07311, registered number 4722932</w:t>
            </w:r>
            <w:r w:rsidRPr="00FF3766">
              <w:rPr>
                <w:rFonts w:ascii="Arial" w:eastAsia="Cambria" w:hAnsi="Arial" w:cs="Arial"/>
                <w:sz w:val="18"/>
                <w:szCs w:val="18"/>
                <w:lang w:val="en-US"/>
              </w:rPr>
              <w:t xml:space="preserve"> referenced below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and the subscriber referenced below ("Subscriber").</w:t>
            </w:r>
          </w:p>
          <w:p w:rsidR="00AE64FE" w:rsidRPr="007F1B28" w:rsidRDefault="00AE64FE" w:rsidP="00951C96">
            <w:pPr>
              <w:tabs>
                <w:tab w:val="left" w:pos="284"/>
              </w:tabs>
              <w:ind w:left="0"/>
              <w:rPr>
                <w:rFonts w:ascii="Arial" w:eastAsia="Cambria" w:hAnsi="Arial" w:cs="Arial"/>
                <w:sz w:val="18"/>
                <w:szCs w:val="18"/>
                <w:lang w:val="en-US"/>
              </w:rPr>
            </w:pPr>
          </w:p>
          <w:p w:rsidR="00130D9B" w:rsidRPr="007F1B28" w:rsidRDefault="00130D9B"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 xml:space="preserve">Definitions. </w:t>
            </w:r>
            <w:r w:rsidRPr="00FF3766">
              <w:rPr>
                <w:rFonts w:ascii="Arial" w:eastAsia="Cambria" w:hAnsi="Arial" w:cs="Arial"/>
                <w:sz w:val="18"/>
                <w:szCs w:val="18"/>
                <w:lang w:val="en-US"/>
              </w:rPr>
              <w:t>Capitalized terms used herein shall have the meanings set forth in this Section 1.</w:t>
            </w: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"Claims or Losses" shall mean any and all liabilities, obligations, losses, damages, penalties, claims, actions, suits, costs, judgments, settlements and expenses of any nature, whether incurred by or issued against an indemnified party or a third­ party, including, without limitation, (a) indirect, special, punitive, consequential or incidental loss or damage, and (b) administrative costs, investigatory costs, litigation costs and auditors' and attorneys' fees and expenses (including in-house personnel).</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F21A77" w:rsidRPr="007E3DC5" w:rsidRDefault="00F21A77"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"Exchange Data" shall mean certain data and other information relating to securities or other financial instruments, products, vehicles or devices; or relating to Persons regulated by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or to activities of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or gathered by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from other sources.</w:t>
            </w:r>
          </w:p>
          <w:p w:rsidR="00AE64FE" w:rsidRPr="00FF3766" w:rsidRDefault="00AE64FE"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"Non-Professional Subscriber" shall mean any natural person who is not: (a) registered or qualified in any capacity with the SEC, the Commodities Futures Trading Commission, any state securities agency, any securities exchange or association, or any commodities or futures contract market or association; (b) engaged as an "investment advisor" as that term is defined in Section 202(a)(11) of the Investment Advisors Act of 1940 (whether or not registered or qualified under that Act); or (c) employed by a bank or other organization exempt from registration under federal or state securities laws to perform functions that would require registration or qualification if such functions were performed for an organization not so exempt.</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F21A77" w:rsidRPr="00FF3766" w:rsidRDefault="00F21A77"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"Person" shall mean any individual, corporation, limited liability company, trust, joint venture, association, company, limited or general partnership, unincorporated organization, or other entity.</w:t>
            </w:r>
          </w:p>
          <w:p w:rsidR="00AE64FE" w:rsidRPr="00FF3766" w:rsidRDefault="00AE64FE" w:rsidP="00951C96">
            <w:pPr>
              <w:tabs>
                <w:tab w:val="left" w:pos="284"/>
              </w:tabs>
              <w:ind w:left="0"/>
              <w:rPr>
                <w:rFonts w:ascii="Arial" w:eastAsia="Cambria" w:hAnsi="Arial" w:cs="Arial"/>
                <w:sz w:val="18"/>
                <w:szCs w:val="18"/>
                <w:lang w:val="en-US"/>
              </w:rPr>
            </w:pPr>
          </w:p>
          <w:p w:rsidR="00AE64FE" w:rsidRPr="007E3DC5" w:rsidRDefault="00AE64FE"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"Professional Subscriber" shall mean all other Persons who do not meet the definition of Non-Professional Subscriber. </w:t>
            </w:r>
          </w:p>
          <w:p w:rsidR="00AE64FE" w:rsidRPr="007E3DC5"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"SEC" shall mean the U.S. Securities and Exchange </w:t>
            </w:r>
            <w:proofErr w:type="spellStart"/>
            <w:r w:rsidRPr="00FF3766">
              <w:rPr>
                <w:rFonts w:ascii="Arial" w:eastAsia="Cambria" w:hAnsi="Arial" w:cs="Arial"/>
                <w:sz w:val="18"/>
                <w:szCs w:val="18"/>
                <w:lang w:val="en-US"/>
              </w:rPr>
              <w:t>Commission."Subscriber</w:t>
            </w:r>
            <w:proofErr w:type="spellEnd"/>
            <w:r w:rsidRPr="00FF3766">
              <w:rPr>
                <w:rFonts w:ascii="Arial" w:eastAsia="Cambria" w:hAnsi="Arial" w:cs="Arial"/>
                <w:sz w:val="18"/>
                <w:szCs w:val="18"/>
                <w:lang w:val="en-US"/>
              </w:rPr>
              <w:t>" shall mean, collectively, all Non-Professional Subscribers and Professional Subscribers.</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shall mean "Data Recipient," as that term is defined in the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Global Markets, Inc. Data Agreement, as may be modified from time to time.</w:t>
            </w:r>
          </w:p>
          <w:p w:rsidR="00AE64FE" w:rsidRPr="00FF3766" w:rsidRDefault="00AE64FE" w:rsidP="00951C96">
            <w:pPr>
              <w:tabs>
                <w:tab w:val="left" w:pos="284"/>
              </w:tabs>
              <w:ind w:left="0"/>
              <w:rPr>
                <w:rFonts w:ascii="Arial" w:eastAsia="Cambria" w:hAnsi="Arial" w:cs="Arial"/>
                <w:sz w:val="18"/>
                <w:szCs w:val="18"/>
                <w:lang w:val="en-US"/>
              </w:rPr>
            </w:pPr>
          </w:p>
          <w:p w:rsidR="00AE64FE" w:rsidRPr="007E3DC5" w:rsidRDefault="00AE64FE"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w:t>
            </w:r>
            <w:proofErr w:type="spellStart"/>
            <w:r w:rsidRPr="00FF3766">
              <w:rPr>
                <w:rFonts w:ascii="Arial" w:eastAsia="Cambria" w:hAnsi="Arial" w:cs="Arial"/>
                <w:sz w:val="18"/>
                <w:szCs w:val="18"/>
                <w:lang w:val="en-US"/>
              </w:rPr>
              <w:t>Devexperts's</w:t>
            </w:r>
            <w:proofErr w:type="spellEnd"/>
            <w:r w:rsidRPr="00FF3766">
              <w:rPr>
                <w:rFonts w:ascii="Arial" w:eastAsia="Cambria" w:hAnsi="Arial" w:cs="Arial"/>
                <w:sz w:val="18"/>
                <w:szCs w:val="18"/>
                <w:lang w:val="en-US"/>
              </w:rPr>
              <w:t xml:space="preserve"> Service" shall mean the service from a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including the data processing equipment, software, and communications facilities related thereto, for receiving, processing, transmitting, using, and disseminating Exchange Data to or by Subscriber.</w:t>
            </w: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 </w:t>
            </w:r>
            <w:r w:rsidRPr="00FF3766">
              <w:rPr>
                <w:rFonts w:ascii="Arial" w:eastAsia="Cambria" w:hAnsi="Arial" w:cs="Arial"/>
                <w:b/>
                <w:sz w:val="18"/>
                <w:szCs w:val="18"/>
                <w:lang w:val="en-US"/>
              </w:rPr>
              <w:t>Use of Data.</w:t>
            </w:r>
            <w:r w:rsidRPr="00FF3766">
              <w:rPr>
                <w:rFonts w:ascii="Arial" w:eastAsia="Cambria" w:hAnsi="Arial" w:cs="Arial"/>
                <w:sz w:val="18"/>
                <w:szCs w:val="18"/>
                <w:lang w:val="en-US"/>
              </w:rPr>
              <w:t xml:space="preserve"> Subscriber may not sell, lease, furnish or otherwise permit or provide access to Exchange Data to any other Person or to any other office or place. Subscriber will not engage in the operation of any illegal business use or permit anyone else to use Exchange Data, or any part thereof, for any illegal purpose or violation of any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or SEC rule or regulation.  Subscriber may not present Exchange Data rendered in any unfair, misleading, or discriminatory format. Subscriber shall take reasonable security precautions to prevent unauthorized Persons from gaining access to Exchange Data.</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FA1A8A" w:rsidRPr="007E3DC5" w:rsidRDefault="00FA1A8A"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Use by Non-Professional Subscribers. Exchange Data is licensed only for personal use by a Non-Professional Subscriber. By representing to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that Subscriber is a Non-Professional Subscriber, or by continuing to receive Exchange Data at a Non-Professional Subscriber rate, Subscriber is affirming to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and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that Subscriber meets the definition of Non-Professional Subscriber as set forth herein. A Non-Professional Subscriber shall comply promptly with any reasonable request from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or its designee, for information regarding the Non-Professional Subscriber's receipt, processing, display, use, and redistribution of Exchange Data.</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7E3DC5" w:rsidRDefault="00AE64FE"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Use by Professional Subscribers. Exchange Data is licensed for internal business use and/or personal use by a Professional Subscriber. Professional Subscriber may, on a non-continuous basis, furnish limited amounts of Exchange Data to customers in written advertisements, correspondence, or other literature during voice telephonic conversations not entailing computerized voice, automated information inquiry systems, or similar technologies. Professional Subscriber shall make its premises available to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or its designee, for physical inspection of </w:t>
            </w:r>
            <w:proofErr w:type="spellStart"/>
            <w:r w:rsidRPr="00FF3766">
              <w:rPr>
                <w:rFonts w:ascii="Arial" w:eastAsia="Cambria" w:hAnsi="Arial" w:cs="Arial"/>
                <w:sz w:val="18"/>
                <w:szCs w:val="18"/>
                <w:lang w:val="en-US"/>
              </w:rPr>
              <w:t>Devexperts's</w:t>
            </w:r>
            <w:proofErr w:type="spellEnd"/>
            <w:r w:rsidRPr="00FF3766">
              <w:rPr>
                <w:rFonts w:ascii="Arial" w:eastAsia="Cambria" w:hAnsi="Arial" w:cs="Arial"/>
                <w:sz w:val="18"/>
                <w:szCs w:val="18"/>
                <w:lang w:val="en-US"/>
              </w:rPr>
              <w:t xml:space="preserve"> Service and of Professional Subscriber's use of Exchange Data (including review of any records regarding use of or access to Exchange Data and the number and locations of all devices that receive Exchange Data), all at reasonable times and upon reasonable notice, to ensure compliance with this Agreement.</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7E3DC5" w:rsidRDefault="00AE64FE"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Proprietary Data.</w:t>
            </w:r>
            <w:r w:rsidRPr="00FF3766">
              <w:rPr>
                <w:rFonts w:ascii="Arial" w:eastAsia="Cambria" w:hAnsi="Arial" w:cs="Arial"/>
                <w:sz w:val="18"/>
                <w:szCs w:val="18"/>
                <w:lang w:val="en-US"/>
              </w:rPr>
              <w:t xml:space="preserve">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grants to Subscriber a non-exclusive, non-transferable license during the term of the Agreement to receive Exchange Data distributed to it by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and, thereafter, to use such Exchange Data as permitted under the terms of this Agreement and all applicable laws, statutes, rules, and regulations of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and the SEC, including but not limited to,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rule filings,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decisions and interpretations and any specifications or successors of such laws, statutes, rules, and regulations.  .  Subscriber acknowledges and agrees that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and its affiliates have proprietary rights to Exchange Data that originates on or is derived from markets regulated or operated by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and compilation or other rights to Exchange Data gathered from other sources. Subscriber further acknowledges and agrees that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third-party information providers have exclusive proprietary rights to their respective information. In the event of any misappropriation or misuse by Subscriber or anyone who accesses Exchange Data through Subscriber,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or its third-party information providers shall have the right to obtain injunctive relief for its respective materials. Subscriber shall attribute the source of Exchange Data as appropriate under all circumstances.</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 xml:space="preserve">Payment. </w:t>
            </w:r>
            <w:r w:rsidRPr="00FF3766">
              <w:rPr>
                <w:rFonts w:ascii="Arial" w:eastAsia="Cambria" w:hAnsi="Arial" w:cs="Arial"/>
                <w:sz w:val="18"/>
                <w:szCs w:val="18"/>
                <w:lang w:val="en-US"/>
              </w:rPr>
              <w:t xml:space="preserve">Subscriber shall assume full and complete responsibility for the payment of any taxes, charges, or assessments imposed on Subscriber or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(except for U.S. federal, state, or local incomes taxes, if any, imposed on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by any foreign or domestic national, state, provincial, or local governmental bodies, or subdivisions thereof, and any penalties or interest relating to the provision of Exchange Data to Subscriber. Interest shall be due from the date of the invoice to the time that the amounts that are due have been paid. To </w:t>
            </w:r>
            <w:r w:rsidRPr="00FF3766">
              <w:rPr>
                <w:rFonts w:ascii="Arial" w:eastAsia="Cambria" w:hAnsi="Arial" w:cs="Arial"/>
                <w:sz w:val="18"/>
                <w:szCs w:val="18"/>
                <w:lang w:val="en-US"/>
              </w:rPr>
              <w:lastRenderedPageBreak/>
              <w:t xml:space="preserve">the extent permitted by applicable law, Subscriber acknowledges and agrees that the termination of </w:t>
            </w:r>
            <w:proofErr w:type="spellStart"/>
            <w:r w:rsidRPr="00FF3766">
              <w:rPr>
                <w:rFonts w:ascii="Arial" w:eastAsia="Cambria" w:hAnsi="Arial" w:cs="Arial"/>
                <w:sz w:val="18"/>
                <w:szCs w:val="18"/>
                <w:lang w:val="en-US"/>
              </w:rPr>
              <w:t>Devexperts's</w:t>
            </w:r>
            <w:proofErr w:type="spellEnd"/>
            <w:r w:rsidRPr="00FF3766">
              <w:rPr>
                <w:rFonts w:ascii="Arial" w:eastAsia="Cambria" w:hAnsi="Arial" w:cs="Arial"/>
                <w:sz w:val="18"/>
                <w:szCs w:val="18"/>
                <w:lang w:val="en-US"/>
              </w:rPr>
              <w:t xml:space="preserve"> Services for failure to make payments shall not be considered an improper limitation of access by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For Professional Subscribers, if any payment is due directly to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under this Agreement, payment in full is due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in immediately available funds within 30 days of the date of an invoice, whether or not use is made of, or access it made to, Exchange Data. Subscriber agrees to pay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a late charge in the amount of 1% per month on all past due amounts that are not the subject of a legitimate and bona fide dispute.</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System.</w:t>
            </w:r>
            <w:r w:rsidRPr="00FF3766">
              <w:rPr>
                <w:rFonts w:ascii="Arial" w:eastAsia="Cambria" w:hAnsi="Arial" w:cs="Arial"/>
                <w:sz w:val="18"/>
                <w:szCs w:val="18"/>
                <w:lang w:val="en-US"/>
              </w:rPr>
              <w:t xml:space="preserve"> Subscriber acknowledges that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in its sole discretion, may from time to time make modifications to its system or Exchange Data. Such modifications may require corresponding changes to be made to </w:t>
            </w:r>
            <w:proofErr w:type="spellStart"/>
            <w:r w:rsidRPr="00FF3766">
              <w:rPr>
                <w:rFonts w:ascii="Arial" w:eastAsia="Cambria" w:hAnsi="Arial" w:cs="Arial"/>
                <w:sz w:val="18"/>
                <w:szCs w:val="18"/>
                <w:lang w:val="en-US"/>
              </w:rPr>
              <w:t>Devexperts's</w:t>
            </w:r>
            <w:proofErr w:type="spellEnd"/>
            <w:r w:rsidRPr="00FF3766">
              <w:rPr>
                <w:rFonts w:ascii="Arial" w:eastAsia="Cambria" w:hAnsi="Arial" w:cs="Arial"/>
                <w:sz w:val="18"/>
                <w:szCs w:val="18"/>
                <w:lang w:val="en-US"/>
              </w:rPr>
              <w:t xml:space="preserve"> Service. Changes or the failure to make timely changes by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may sever, delay, or otherwise affect Subscriber's access to or use of Exchange Data.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shall not be responsible for any such effects.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does not endorse or approve any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w:t>
            </w:r>
            <w:proofErr w:type="spellStart"/>
            <w:r w:rsidRPr="00FF3766">
              <w:rPr>
                <w:rFonts w:ascii="Arial" w:eastAsia="Cambria" w:hAnsi="Arial" w:cs="Arial"/>
                <w:sz w:val="18"/>
                <w:szCs w:val="18"/>
                <w:lang w:val="en-US"/>
              </w:rPr>
              <w:t>Devexperts's</w:t>
            </w:r>
            <w:proofErr w:type="spellEnd"/>
            <w:r w:rsidRPr="00FF3766">
              <w:rPr>
                <w:rFonts w:ascii="Arial" w:eastAsia="Cambria" w:hAnsi="Arial" w:cs="Arial"/>
                <w:sz w:val="18"/>
                <w:szCs w:val="18"/>
                <w:lang w:val="en-US"/>
              </w:rPr>
              <w:t xml:space="preserve"> Service or equipment utilized by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or Subscriber.</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7E3DC5" w:rsidRDefault="00AE64FE"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Limitation of Liability.</w:t>
            </w:r>
            <w:r w:rsidRPr="00FF3766">
              <w:rPr>
                <w:rFonts w:ascii="Arial" w:eastAsia="Cambria" w:hAnsi="Arial" w:cs="Arial"/>
                <w:sz w:val="18"/>
                <w:szCs w:val="18"/>
                <w:lang w:val="en-US"/>
              </w:rPr>
              <w:t xml:space="preserve">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its officers, directors, shareholders, employees, agents and consultants shall not be liable to Subscriber or to any other Person for any inaccurate or incomplete Exchange Data received from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or from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any delays, interruptions, errors, or omissions in the furnishing thereof, or any direct, indirect or consequential damages arising from or occasioned by said inaccuracies, delays, interruptions, errors or omissions.</w:t>
            </w: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This Section shall not relieve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Subscriber, or any other Person from liability for damages that result from their own gross negligence or willful tortious misconduct or from personal injury or wrongful death claims.</w:t>
            </w:r>
          </w:p>
          <w:p w:rsidR="00AE64FE" w:rsidRPr="00FF3766" w:rsidRDefault="00951C96"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MDX</w:t>
            </w:r>
            <w:r w:rsidR="00AE64FE" w:rsidRPr="00FF3766">
              <w:rPr>
                <w:rFonts w:ascii="Arial" w:eastAsia="Cambria" w:hAnsi="Arial" w:cs="Arial"/>
                <w:sz w:val="18"/>
                <w:szCs w:val="18"/>
                <w:lang w:val="en-US"/>
              </w:rPr>
              <w:t xml:space="preserve">, </w:t>
            </w:r>
            <w:proofErr w:type="spellStart"/>
            <w:r w:rsidR="00AE64FE" w:rsidRPr="00FF3766">
              <w:rPr>
                <w:rFonts w:ascii="Arial" w:eastAsia="Cambria" w:hAnsi="Arial" w:cs="Arial"/>
                <w:sz w:val="18"/>
                <w:szCs w:val="18"/>
                <w:lang w:val="en-US"/>
              </w:rPr>
              <w:t>Devexperts</w:t>
            </w:r>
            <w:proofErr w:type="spellEnd"/>
            <w:r w:rsidR="00AE64FE" w:rsidRPr="00FF3766">
              <w:rPr>
                <w:rFonts w:ascii="Arial" w:eastAsia="Cambria" w:hAnsi="Arial" w:cs="Arial"/>
                <w:sz w:val="18"/>
                <w:szCs w:val="18"/>
                <w:lang w:val="en-US"/>
              </w:rPr>
              <w:t>, and Subscriber understand and agree that the terms of this Section reflect a reasonable allocation of risk and limitation of liability.</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7E3DC5" w:rsidRDefault="00AE64FE"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Disclaimer of Warranties.</w:t>
            </w:r>
            <w:r w:rsidRPr="00FF3766">
              <w:rPr>
                <w:rFonts w:ascii="Arial" w:eastAsia="Cambria" w:hAnsi="Arial" w:cs="Arial"/>
                <w:sz w:val="18"/>
                <w:szCs w:val="18"/>
                <w:lang w:val="en-US"/>
              </w:rPr>
              <w:t xml:space="preserve"> SUBSCRIBER EXPRESSLY ACKNOWLEDGES THAT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AND ITS THIRD-PARTY INFORMATION PROVIDERS DO NOT MAKE ANY REPRESENTATIONS OR WARRANTIES, EXPRESS OR IMPLIED</w:t>
            </w:r>
            <w:proofErr w:type="gramStart"/>
            <w:r w:rsidRPr="00FF3766">
              <w:rPr>
                <w:rFonts w:ascii="Arial" w:eastAsia="Cambria" w:hAnsi="Arial" w:cs="Arial"/>
                <w:sz w:val="18"/>
                <w:szCs w:val="18"/>
                <w:lang w:val="en-US"/>
              </w:rPr>
              <w:t>,</w:t>
            </w:r>
            <w:proofErr w:type="gramEnd"/>
            <w:r w:rsidRPr="00FF3766">
              <w:rPr>
                <w:rFonts w:ascii="Arial" w:eastAsia="Cambria" w:hAnsi="Arial" w:cs="Arial"/>
                <w:sz w:val="18"/>
                <w:szCs w:val="18"/>
                <w:lang w:val="en-US"/>
              </w:rPr>
              <w:t xml:space="preserve"> INCLUDING, WITHOUT LIMITATION, ANY IMPLIED WARRANTIES OR ANY WARRANTIES OF MERCHANTABILITY, QUALITY OR FITNESS FOR A PARTICULAR PURPOSE.</w:t>
            </w:r>
          </w:p>
          <w:p w:rsidR="00AE64FE" w:rsidRPr="00FF3766" w:rsidRDefault="00AE64FE" w:rsidP="00951C96">
            <w:pPr>
              <w:tabs>
                <w:tab w:val="left" w:pos="284"/>
              </w:tabs>
              <w:ind w:left="0"/>
              <w:rPr>
                <w:rFonts w:ascii="Arial" w:eastAsia="Cambria" w:hAnsi="Arial" w:cs="Arial"/>
                <w:sz w:val="18"/>
                <w:szCs w:val="18"/>
                <w:lang w:val="en-US"/>
              </w:rPr>
            </w:pPr>
          </w:p>
          <w:p w:rsidR="00FA1A8A" w:rsidRPr="007E3DC5" w:rsidRDefault="00FA1A8A" w:rsidP="00951C96">
            <w:pPr>
              <w:tabs>
                <w:tab w:val="left" w:pos="284"/>
              </w:tabs>
              <w:ind w:left="0"/>
              <w:rPr>
                <w:rFonts w:ascii="Arial" w:eastAsia="Cambria" w:hAnsi="Arial" w:cs="Arial"/>
                <w:sz w:val="18"/>
                <w:szCs w:val="18"/>
                <w:lang w:val="en-US"/>
              </w:rPr>
            </w:pPr>
          </w:p>
          <w:p w:rsidR="007F1B28" w:rsidRPr="007E3DC5" w:rsidRDefault="007F1B28"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 xml:space="preserve">Third-Party Information Providers' Limitation of Liability.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third-party information providers shall have no liability for any damages, whether direct or indirect, whether lost profits, indirect, special, or consequential damages of Subscriber or any other Person seeking relief through Subscriber relating to the accuracy of or delays or omissions in any Exchange Data provided by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third-party information providers, even if the third-party information providers have been advised of the possibility of such damages. In no event will the liability of the third-party information providers or their affiliates to Subscriber or any other Person seeking relief through Subscriber pursuant to any cause of action, whether in contract, tort, or otherwise, exceed the fee paid by Subscriber or any other Person seeking relief through Subscriber, as applicable.</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F21A77" w:rsidRPr="007E3DC5" w:rsidRDefault="00F21A77"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Claims and Losses.</w:t>
            </w:r>
            <w:r w:rsidRPr="00FF3766">
              <w:rPr>
                <w:rFonts w:ascii="Arial" w:eastAsia="Cambria" w:hAnsi="Arial" w:cs="Arial"/>
                <w:sz w:val="18"/>
                <w:szCs w:val="18"/>
                <w:lang w:val="en-US"/>
              </w:rPr>
              <w:t xml:space="preserve"> Subscriber agrees to indemnify and hold harmless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its owners, subsidiaries, affiliates, officers, directors, employees, agents, and any related Persons from any and all Claims or Losses imposed on, incurred by, or asserted as a result of or relating to: (a) any noncompliance by Subscriber with the terms and conditions hereof; and (b) any third-party actions related to Subscriber's receipt and use of Exchange Data, whether authorized or unauthorized under this Agreement.  Each party agrees to indemnify and hold harmless (and in every case,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shall be permitted to solely defend and settle) another party (including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and their owners, subsidiaries, affiliates, officers, directors, employees, agents, and any related Persons, against any Claims or Losses arising from, involving, or relating to a claim of infringement or other violation of an intellectual property right by the indemnifying party provided that: (a) the Indemnified party promptly notifies the indemnifying party in writing of the Claims or Losses; and (b) the indemnified party reasonably cooperates in the defense of the Claims or Losses.</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F21A77" w:rsidRPr="00FF3766" w:rsidRDefault="00F21A77" w:rsidP="00951C96">
            <w:pPr>
              <w:tabs>
                <w:tab w:val="left" w:pos="284"/>
              </w:tabs>
              <w:ind w:left="0"/>
              <w:rPr>
                <w:rFonts w:ascii="Arial" w:eastAsia="Cambria" w:hAnsi="Arial" w:cs="Arial"/>
                <w:sz w:val="18"/>
                <w:szCs w:val="18"/>
                <w:lang w:val="en-US"/>
              </w:rPr>
            </w:pPr>
          </w:p>
          <w:p w:rsidR="00F21A77" w:rsidRPr="00FF3766" w:rsidRDefault="00F21A77" w:rsidP="00951C96">
            <w:pPr>
              <w:tabs>
                <w:tab w:val="left" w:pos="284"/>
              </w:tabs>
              <w:ind w:left="0"/>
              <w:rPr>
                <w:rFonts w:ascii="Arial" w:eastAsia="Cambria" w:hAnsi="Arial" w:cs="Arial"/>
                <w:sz w:val="18"/>
                <w:szCs w:val="18"/>
                <w:lang w:val="en-US"/>
              </w:rPr>
            </w:pPr>
          </w:p>
          <w:p w:rsidR="00F21A77" w:rsidRPr="007E3DC5" w:rsidRDefault="00F21A77"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Termination.</w:t>
            </w:r>
            <w:r w:rsidRPr="00FF3766">
              <w:rPr>
                <w:rFonts w:ascii="Arial" w:eastAsia="Cambria" w:hAnsi="Arial" w:cs="Arial"/>
                <w:sz w:val="18"/>
                <w:szCs w:val="18"/>
                <w:lang w:val="en-US"/>
              </w:rPr>
              <w:t xml:space="preserve"> Subscriber acknowledges that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when required to do so in fulfillment of statutory obligations or otherwise, may by notice to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unilaterally limit or terminate the right of any or all Persons to receive or use Exchange Data, or any part thereof, and that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shall Immediately comply with any such notice and terminate or limit the furnishing of Exchange Data and confirm such compliance by written notice to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Any affected Person will have </w:t>
            </w:r>
            <w:r w:rsidRPr="00FF3766">
              <w:rPr>
                <w:rFonts w:ascii="Arial" w:eastAsia="Cambria" w:hAnsi="Arial" w:cs="Arial"/>
                <w:sz w:val="18"/>
                <w:szCs w:val="18"/>
                <w:lang w:val="en-US"/>
              </w:rPr>
              <w:lastRenderedPageBreak/>
              <w:t xml:space="preserve">available to it such procedural protections as are provided by the Securities Exchange Act of 1934 (the "Act”) and applicable rules and regulations thereunder. In addition to the termination rights permitted under any agreement Subscriber may have with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this Agreement may be terminated by Subscriber upon 30 days' written notice to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and by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upon 30 days' written notice either to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or Subscriber. In the event of Subscriber's breach, the discovery of the untruth of any representation or warranty of Subscriber, or where directed by the SEC in its regulatory authority,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may terminate this Agreement upon not less than 3 days' written notice to Subscriber provided either by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or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5520D3" w:rsidRPr="007E3DC5" w:rsidRDefault="005520D3"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5520D3" w:rsidRPr="007E3DC5" w:rsidRDefault="005520D3" w:rsidP="00951C96">
            <w:pPr>
              <w:tabs>
                <w:tab w:val="left" w:pos="284"/>
              </w:tabs>
              <w:ind w:left="0"/>
              <w:rPr>
                <w:rFonts w:ascii="Arial" w:eastAsia="Cambria" w:hAnsi="Arial" w:cs="Arial"/>
                <w:sz w:val="18"/>
                <w:szCs w:val="18"/>
                <w:lang w:val="en-US"/>
              </w:rPr>
            </w:pPr>
          </w:p>
          <w:p w:rsidR="00B36516" w:rsidRDefault="00AE64FE" w:rsidP="005520D3">
            <w:pPr>
              <w:numPr>
                <w:ilvl w:val="0"/>
                <w:numId w:val="2"/>
              </w:numPr>
              <w:tabs>
                <w:tab w:val="left" w:pos="284"/>
              </w:tabs>
              <w:ind w:left="0"/>
              <w:rPr>
                <w:rFonts w:ascii="Arial" w:eastAsia="Cambria" w:hAnsi="Arial" w:cs="Arial"/>
                <w:sz w:val="18"/>
                <w:szCs w:val="18"/>
                <w:lang w:val="en-US"/>
              </w:rPr>
            </w:pPr>
            <w:r w:rsidRPr="00FF3766">
              <w:rPr>
                <w:rFonts w:ascii="Arial" w:eastAsia="Cambria" w:hAnsi="Arial" w:cs="Arial"/>
                <w:b/>
                <w:sz w:val="18"/>
                <w:szCs w:val="18"/>
                <w:lang w:val="en-US"/>
              </w:rPr>
              <w:t>Notices.</w:t>
            </w:r>
            <w:r w:rsidRPr="00FF3766">
              <w:rPr>
                <w:rFonts w:ascii="Arial" w:eastAsia="Cambria" w:hAnsi="Arial" w:cs="Arial"/>
                <w:sz w:val="18"/>
                <w:szCs w:val="18"/>
                <w:lang w:val="en-US"/>
              </w:rPr>
              <w:t xml:space="preserve"> All communications required to be given in writing to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under this Agreement shall be directed to:</w:t>
            </w:r>
            <w:r w:rsidR="005520D3" w:rsidRPr="00FF3766">
              <w:rPr>
                <w:rFonts w:ascii="Arial" w:eastAsia="Cambria" w:hAnsi="Arial" w:cs="Arial"/>
                <w:sz w:val="18"/>
                <w:szCs w:val="18"/>
                <w:lang w:val="en-US"/>
              </w:rPr>
              <w:t xml:space="preserve"> Market Data Express, LLC. </w:t>
            </w:r>
          </w:p>
          <w:p w:rsidR="00AE64FE" w:rsidRPr="00FF3766" w:rsidRDefault="005520D3" w:rsidP="005520D3">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400 South LaSalle Street Chicago, IL 60605</w:t>
            </w:r>
            <w:r w:rsidR="00B36516">
              <w:rPr>
                <w:rFonts w:ascii="Arial" w:eastAsia="Cambria" w:hAnsi="Arial" w:cs="Arial"/>
                <w:sz w:val="18"/>
                <w:szCs w:val="18"/>
                <w:lang w:val="en-US"/>
              </w:rPr>
              <w:t xml:space="preserve"> </w:t>
            </w:r>
            <w:r w:rsidR="00AE64FE" w:rsidRPr="00FF3766">
              <w:rPr>
                <w:rFonts w:ascii="Arial" w:eastAsia="Cambria" w:hAnsi="Arial" w:cs="Arial"/>
                <w:sz w:val="18"/>
                <w:szCs w:val="18"/>
                <w:lang w:val="en-US"/>
              </w:rPr>
              <w:t>Attn: Legal Department</w:t>
            </w: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Direct communication to Subscriber at the last address known to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shall be considered given (a) upon actual receipt if delivered by email, or (b) upon posting the notice or other communication on </w:t>
            </w:r>
            <w:r w:rsidR="00F21A77" w:rsidRPr="00FF3766">
              <w:rPr>
                <w:rFonts w:ascii="Arial" w:eastAsia="Cambria" w:hAnsi="Arial" w:cs="Arial"/>
                <w:sz w:val="18"/>
                <w:szCs w:val="18"/>
                <w:lang w:val="en-US"/>
              </w:rPr>
              <w:t xml:space="preserve">www.bats.com </w:t>
            </w:r>
            <w:r w:rsidRPr="00FF3766">
              <w:rPr>
                <w:rFonts w:ascii="Arial" w:eastAsia="Cambria" w:hAnsi="Arial" w:cs="Arial"/>
                <w:sz w:val="18"/>
                <w:szCs w:val="18"/>
                <w:lang w:val="en-US"/>
              </w:rPr>
              <w:t xml:space="preserve">or a successor site. Subscriber promptly shall give written notice to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of any change in the name or place of residence or business at which Exchange Data is received.</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5520D3">
            <w:pPr>
              <w:pStyle w:val="a5"/>
              <w:numPr>
                <w:ilvl w:val="0"/>
                <w:numId w:val="2"/>
              </w:numPr>
              <w:tabs>
                <w:tab w:val="left" w:pos="284"/>
              </w:tabs>
              <w:rPr>
                <w:rFonts w:ascii="Arial" w:eastAsia="Cambria" w:hAnsi="Arial" w:cs="Arial"/>
                <w:b/>
                <w:sz w:val="18"/>
                <w:szCs w:val="18"/>
                <w:lang w:val="en-US"/>
              </w:rPr>
            </w:pPr>
            <w:r w:rsidRPr="00FF3766">
              <w:rPr>
                <w:rFonts w:ascii="Arial" w:eastAsia="Cambria" w:hAnsi="Arial" w:cs="Arial"/>
                <w:b/>
                <w:sz w:val="18"/>
                <w:szCs w:val="18"/>
                <w:lang w:val="en-US"/>
              </w:rPr>
              <w:t xml:space="preserve">Assignment. </w:t>
            </w:r>
            <w:r w:rsidRPr="00FF3766">
              <w:rPr>
                <w:rFonts w:ascii="Arial" w:eastAsia="Cambria" w:hAnsi="Arial" w:cs="Arial"/>
                <w:sz w:val="18"/>
                <w:szCs w:val="18"/>
                <w:lang w:val="en-US"/>
              </w:rPr>
              <w:t xml:space="preserve">This Agreement shall inure to the benefit of and shall be binding upon the parties hereto and their respective permitted successors and assigns. Neither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nor Subscriber shall assign this Agreement (Including by operation of law) without the prior written consent of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provided, however, that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shall not unreasonably withhold such consent. Notwithstanding the foregoing,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or Subscriber may assign this Agreement to an affiliate or subsidiary without the prior written consent of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provided that the assigning party is not currently in breach of this Agreement or delinquent in any fees owed to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may, as permitted by the Act, assign or transfer this Agreement or any of its rights or </w:t>
            </w:r>
            <w:proofErr w:type="gramStart"/>
            <w:r w:rsidRPr="00FF3766">
              <w:rPr>
                <w:rFonts w:ascii="Arial" w:eastAsia="Cambria" w:hAnsi="Arial" w:cs="Arial"/>
                <w:sz w:val="18"/>
                <w:szCs w:val="18"/>
                <w:lang w:val="en-US"/>
              </w:rPr>
              <w:t>obligations  hereunder</w:t>
            </w:r>
            <w:proofErr w:type="gramEnd"/>
            <w:r w:rsidRPr="00FF3766">
              <w:rPr>
                <w:rFonts w:ascii="Arial" w:eastAsia="Cambria" w:hAnsi="Arial" w:cs="Arial"/>
                <w:sz w:val="18"/>
                <w:szCs w:val="18"/>
                <w:lang w:val="en-US"/>
              </w:rPr>
              <w:t xml:space="preserve"> to a related or unrelated party upon notice to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and Subscriber.</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AE64FE" w:rsidRPr="007E3DC5" w:rsidRDefault="00AE64FE"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7E3DC5" w:rsidRDefault="00AE64FE" w:rsidP="00951C96">
            <w:pPr>
              <w:tabs>
                <w:tab w:val="left" w:pos="284"/>
              </w:tabs>
              <w:ind w:left="0"/>
              <w:rPr>
                <w:rFonts w:ascii="Arial" w:eastAsia="Cambria" w:hAnsi="Arial" w:cs="Arial"/>
                <w:sz w:val="18"/>
                <w:szCs w:val="18"/>
                <w:lang w:val="en-US"/>
              </w:rPr>
            </w:pPr>
          </w:p>
          <w:p w:rsidR="00AE64FE" w:rsidRPr="00FF3766" w:rsidRDefault="00AE64FE" w:rsidP="005520D3">
            <w:pPr>
              <w:pStyle w:val="a5"/>
              <w:numPr>
                <w:ilvl w:val="0"/>
                <w:numId w:val="2"/>
              </w:numPr>
              <w:tabs>
                <w:tab w:val="left" w:pos="284"/>
              </w:tabs>
              <w:rPr>
                <w:rFonts w:ascii="Arial" w:eastAsia="Cambria" w:hAnsi="Arial" w:cs="Arial"/>
                <w:b/>
                <w:sz w:val="18"/>
                <w:szCs w:val="18"/>
                <w:lang w:val="en-US"/>
              </w:rPr>
            </w:pPr>
            <w:r w:rsidRPr="00FF3766">
              <w:rPr>
                <w:rFonts w:ascii="Arial" w:eastAsia="Cambria" w:hAnsi="Arial" w:cs="Arial"/>
                <w:b/>
                <w:sz w:val="18"/>
                <w:szCs w:val="18"/>
                <w:lang w:val="en-US"/>
              </w:rPr>
              <w:t>Severability.</w:t>
            </w:r>
            <w:r w:rsidRPr="00FF3766">
              <w:rPr>
                <w:rFonts w:ascii="Arial" w:eastAsia="Cambria" w:hAnsi="Arial" w:cs="Arial"/>
                <w:sz w:val="18"/>
                <w:szCs w:val="18"/>
                <w:lang w:val="en-US"/>
              </w:rPr>
              <w:t xml:space="preserve"> Each provision of this Agreement will be deemed to be effective and valid under applicable law, but if any provision of this Agreement is determined to be invalid, void, or unenforceable under any law, rule, administrative order or judicial decision, that determination will not affect the validity of the </w:t>
            </w:r>
            <w:r w:rsidRPr="00FF3766">
              <w:rPr>
                <w:rFonts w:ascii="Arial" w:eastAsia="Cambria" w:hAnsi="Arial" w:cs="Arial"/>
                <w:sz w:val="18"/>
                <w:szCs w:val="18"/>
                <w:lang w:val="en-US"/>
              </w:rPr>
              <w:lastRenderedPageBreak/>
              <w:t>remaining provisions of this Agreement.</w:t>
            </w:r>
          </w:p>
          <w:p w:rsidR="00AE64FE" w:rsidRPr="00FF3766" w:rsidRDefault="00AE64FE" w:rsidP="00951C96">
            <w:pPr>
              <w:tabs>
                <w:tab w:val="left" w:pos="284"/>
              </w:tabs>
              <w:ind w:left="0"/>
              <w:rPr>
                <w:rFonts w:ascii="Arial" w:eastAsia="Cambria" w:hAnsi="Arial" w:cs="Arial"/>
                <w:sz w:val="18"/>
                <w:szCs w:val="18"/>
                <w:lang w:val="en-US"/>
              </w:rPr>
            </w:pPr>
          </w:p>
          <w:p w:rsidR="00AE64FE" w:rsidRPr="00FF3766" w:rsidRDefault="00AE64FE" w:rsidP="00951C96">
            <w:pPr>
              <w:tabs>
                <w:tab w:val="left" w:pos="284"/>
              </w:tabs>
              <w:ind w:left="0"/>
              <w:rPr>
                <w:rFonts w:ascii="Arial" w:eastAsia="Cambria" w:hAnsi="Arial" w:cs="Arial"/>
                <w:sz w:val="18"/>
                <w:szCs w:val="18"/>
                <w:lang w:val="en-US"/>
              </w:rPr>
            </w:pPr>
          </w:p>
          <w:p w:rsidR="00FA1A8A" w:rsidRPr="007E3DC5" w:rsidRDefault="00FA1A8A" w:rsidP="00951C96">
            <w:pPr>
              <w:tabs>
                <w:tab w:val="left" w:pos="284"/>
              </w:tabs>
              <w:ind w:left="0"/>
              <w:rPr>
                <w:rFonts w:ascii="Arial" w:eastAsia="Cambria" w:hAnsi="Arial" w:cs="Arial"/>
                <w:sz w:val="18"/>
                <w:szCs w:val="18"/>
                <w:lang w:val="en-US"/>
              </w:rPr>
            </w:pPr>
          </w:p>
          <w:p w:rsidR="007F1B28" w:rsidRPr="007E3DC5" w:rsidRDefault="007F1B28" w:rsidP="00951C96">
            <w:pPr>
              <w:tabs>
                <w:tab w:val="left" w:pos="284"/>
              </w:tabs>
              <w:ind w:left="0"/>
              <w:rPr>
                <w:rFonts w:ascii="Arial" w:eastAsia="Cambria" w:hAnsi="Arial" w:cs="Arial"/>
                <w:sz w:val="18"/>
                <w:szCs w:val="18"/>
                <w:lang w:val="en-US"/>
              </w:rPr>
            </w:pPr>
          </w:p>
          <w:p w:rsidR="00AE64FE" w:rsidRPr="00FF3766" w:rsidRDefault="00AE64FE" w:rsidP="007F1B28">
            <w:pPr>
              <w:pStyle w:val="a5"/>
              <w:numPr>
                <w:ilvl w:val="0"/>
                <w:numId w:val="2"/>
              </w:numPr>
              <w:tabs>
                <w:tab w:val="left" w:pos="0"/>
              </w:tabs>
              <w:rPr>
                <w:rFonts w:ascii="Arial" w:eastAsia="Cambria" w:hAnsi="Arial" w:cs="Arial"/>
                <w:sz w:val="18"/>
                <w:szCs w:val="18"/>
                <w:lang w:val="en-US"/>
              </w:rPr>
            </w:pPr>
            <w:r w:rsidRPr="00FF3766">
              <w:rPr>
                <w:rFonts w:ascii="Arial" w:eastAsia="Cambria" w:hAnsi="Arial" w:cs="Arial"/>
                <w:b/>
                <w:sz w:val="18"/>
                <w:szCs w:val="18"/>
                <w:lang w:val="en-US"/>
              </w:rPr>
              <w:t xml:space="preserve">Entire Agreement; Amendment; Waiver. </w:t>
            </w: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This Agreement constitutes the complete and entire agreement of the parties to this Agreement with respect to its subject matter and supersedes all prior writings or understandings. </w:t>
            </w:r>
            <w:r w:rsidRPr="00FF3766">
              <w:rPr>
                <w:rFonts w:ascii="Arial" w:eastAsia="Cambria" w:hAnsi="Arial" w:cs="Arial"/>
                <w:sz w:val="18"/>
                <w:szCs w:val="18"/>
                <w:lang w:val="en-US"/>
              </w:rPr>
              <w:br w:type="column"/>
              <w:t xml:space="preserve">If there is any conflict and/or inconsistency between this Agreement and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agreement with Subscriber, the terms of this Agreement shall prevail as between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and Subscriber.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may modify any term of this Agreement upon 60 days written notice either to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or Subscriber, and any use of Exchange Data after such date shall be deemed acceptance of the new term or condition. </w:t>
            </w:r>
          </w:p>
          <w:p w:rsidR="00AE64FE" w:rsidRPr="00FF3766" w:rsidRDefault="00AE64FE" w:rsidP="00951C96">
            <w:pPr>
              <w:tabs>
                <w:tab w:val="left" w:pos="284"/>
              </w:tabs>
              <w:ind w:left="0"/>
              <w:rPr>
                <w:rFonts w:ascii="Arial" w:eastAsia="Cambria" w:hAnsi="Arial" w:cs="Arial"/>
                <w:sz w:val="18"/>
                <w:szCs w:val="18"/>
                <w:lang w:val="en-US"/>
              </w:rPr>
            </w:pPr>
            <w:r w:rsidRPr="00FF3766">
              <w:rPr>
                <w:rFonts w:ascii="Arial" w:eastAsia="Cambria" w:hAnsi="Arial" w:cs="Arial"/>
                <w:sz w:val="18"/>
                <w:szCs w:val="18"/>
                <w:lang w:val="en-US"/>
              </w:rPr>
              <w:t xml:space="preserve">No failure on the part of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or Subscriber to exercise, no delay in exercising, and no course of dealing with respect to any right, power, or privilege under the Agreement shall operate as a waiver thereof, nor shall any single or partial exercise of any such right, power, or privilege preclude any other or further exercise thereof or the exercise of any other right, power, or privilege under this Agreement.</w:t>
            </w:r>
          </w:p>
          <w:p w:rsidR="00AE64FE" w:rsidRPr="00FF3766" w:rsidRDefault="00AE64FE" w:rsidP="00951C96">
            <w:pPr>
              <w:pStyle w:val="a5"/>
              <w:tabs>
                <w:tab w:val="left" w:pos="284"/>
              </w:tabs>
              <w:ind w:left="0"/>
              <w:rPr>
                <w:rFonts w:ascii="Arial" w:eastAsia="Cambria" w:hAnsi="Arial" w:cs="Arial"/>
                <w:sz w:val="18"/>
                <w:szCs w:val="18"/>
                <w:lang w:val="en-US"/>
              </w:rPr>
            </w:pPr>
          </w:p>
          <w:p w:rsidR="00AE64FE" w:rsidRPr="00FF3766" w:rsidRDefault="00AE64FE" w:rsidP="00951C96">
            <w:pPr>
              <w:pStyle w:val="a5"/>
              <w:tabs>
                <w:tab w:val="left" w:pos="284"/>
              </w:tabs>
              <w:ind w:left="0"/>
              <w:rPr>
                <w:rFonts w:ascii="Arial" w:eastAsia="Cambria" w:hAnsi="Arial" w:cs="Arial"/>
                <w:sz w:val="18"/>
                <w:szCs w:val="18"/>
                <w:lang w:val="en-US"/>
              </w:rPr>
            </w:pPr>
          </w:p>
          <w:p w:rsidR="00AE64FE" w:rsidRPr="00FF3766" w:rsidRDefault="00AE64FE" w:rsidP="00951C96">
            <w:pPr>
              <w:pStyle w:val="a5"/>
              <w:tabs>
                <w:tab w:val="left" w:pos="284"/>
              </w:tabs>
              <w:ind w:left="0"/>
              <w:rPr>
                <w:rFonts w:ascii="Arial" w:eastAsia="Cambria" w:hAnsi="Arial" w:cs="Arial"/>
                <w:sz w:val="18"/>
                <w:szCs w:val="18"/>
                <w:lang w:val="en-US"/>
              </w:rPr>
            </w:pPr>
          </w:p>
          <w:p w:rsidR="00AE64FE" w:rsidRPr="00FF3766" w:rsidRDefault="00AE64FE" w:rsidP="00951C96">
            <w:pPr>
              <w:pStyle w:val="a5"/>
              <w:tabs>
                <w:tab w:val="left" w:pos="284"/>
              </w:tabs>
              <w:ind w:left="0"/>
              <w:rPr>
                <w:rFonts w:ascii="Arial" w:eastAsia="Cambria" w:hAnsi="Arial" w:cs="Arial"/>
                <w:sz w:val="18"/>
                <w:szCs w:val="18"/>
                <w:lang w:val="en-US"/>
              </w:rPr>
            </w:pPr>
          </w:p>
          <w:p w:rsidR="00AE64FE" w:rsidRPr="00FF3766" w:rsidRDefault="00AE64FE" w:rsidP="00951C96">
            <w:pPr>
              <w:pStyle w:val="a5"/>
              <w:tabs>
                <w:tab w:val="left" w:pos="284"/>
              </w:tabs>
              <w:ind w:left="0"/>
              <w:rPr>
                <w:rFonts w:ascii="Arial" w:eastAsia="Cambria" w:hAnsi="Arial" w:cs="Arial"/>
                <w:sz w:val="18"/>
                <w:szCs w:val="18"/>
                <w:lang w:val="en-US"/>
              </w:rPr>
            </w:pPr>
          </w:p>
          <w:p w:rsidR="00AE64FE" w:rsidRPr="00FF3766" w:rsidRDefault="00AE64FE" w:rsidP="00951C96">
            <w:pPr>
              <w:pStyle w:val="a5"/>
              <w:tabs>
                <w:tab w:val="left" w:pos="284"/>
              </w:tabs>
              <w:ind w:left="0"/>
              <w:rPr>
                <w:rFonts w:ascii="Arial" w:eastAsia="Cambria" w:hAnsi="Arial" w:cs="Arial"/>
                <w:sz w:val="18"/>
                <w:szCs w:val="18"/>
                <w:lang w:val="en-US"/>
              </w:rPr>
            </w:pPr>
          </w:p>
          <w:p w:rsidR="00F21A77" w:rsidRPr="007E3DC5" w:rsidRDefault="00F21A77" w:rsidP="00951C96">
            <w:pPr>
              <w:pStyle w:val="a5"/>
              <w:tabs>
                <w:tab w:val="left" w:pos="284"/>
              </w:tabs>
              <w:ind w:left="0"/>
              <w:rPr>
                <w:rFonts w:ascii="Arial" w:eastAsia="Cambria" w:hAnsi="Arial" w:cs="Arial"/>
                <w:sz w:val="18"/>
                <w:szCs w:val="18"/>
                <w:lang w:val="en-US"/>
              </w:rPr>
            </w:pPr>
          </w:p>
          <w:p w:rsidR="00AE64FE" w:rsidRPr="00FF3766" w:rsidRDefault="00AE64FE" w:rsidP="00AE64FE">
            <w:pPr>
              <w:pStyle w:val="a5"/>
              <w:numPr>
                <w:ilvl w:val="0"/>
                <w:numId w:val="3"/>
              </w:numPr>
              <w:tabs>
                <w:tab w:val="left" w:pos="284"/>
              </w:tabs>
              <w:ind w:left="0" w:firstLine="0"/>
              <w:rPr>
                <w:rFonts w:ascii="Arial" w:eastAsia="Cambria" w:hAnsi="Arial" w:cs="Arial"/>
                <w:sz w:val="18"/>
                <w:szCs w:val="18"/>
                <w:lang w:val="en-US"/>
              </w:rPr>
            </w:pPr>
            <w:r w:rsidRPr="00FF3766">
              <w:rPr>
                <w:rFonts w:ascii="Arial" w:eastAsia="Cambria" w:hAnsi="Arial" w:cs="Arial"/>
                <w:b/>
                <w:sz w:val="18"/>
                <w:szCs w:val="18"/>
                <w:lang w:val="en-US"/>
              </w:rPr>
              <w:t xml:space="preserve">Governing Law; Venue. </w:t>
            </w:r>
            <w:r w:rsidRPr="00FF3766">
              <w:rPr>
                <w:rFonts w:ascii="Arial" w:eastAsia="Cambria" w:hAnsi="Arial" w:cs="Arial"/>
                <w:sz w:val="18"/>
                <w:szCs w:val="18"/>
                <w:lang w:val="en-US"/>
              </w:rPr>
              <w:t>This Agreement will be governed by and interpreted in accordance with the internal laws of the State of New York, USA. Subscriber hereby submits to the jurisdiction of the state and federal courts in and for the State of New York, USA for the resolution of any dispute arising under this Agreement.</w:t>
            </w:r>
          </w:p>
          <w:p w:rsidR="00AE64FE" w:rsidRPr="00FF3766" w:rsidRDefault="00AE64FE" w:rsidP="00951C96">
            <w:pPr>
              <w:tabs>
                <w:tab w:val="left" w:pos="284"/>
              </w:tabs>
              <w:ind w:left="0"/>
              <w:rPr>
                <w:rFonts w:ascii="Arial" w:eastAsia="Cambria" w:hAnsi="Arial" w:cs="Arial"/>
                <w:sz w:val="18"/>
                <w:szCs w:val="18"/>
                <w:lang w:val="en-US"/>
              </w:rPr>
            </w:pPr>
          </w:p>
          <w:p w:rsidR="00F21A77" w:rsidRPr="00FF3766" w:rsidRDefault="00F21A77" w:rsidP="00951C96">
            <w:pPr>
              <w:tabs>
                <w:tab w:val="left" w:pos="284"/>
              </w:tabs>
              <w:ind w:left="0"/>
              <w:rPr>
                <w:rFonts w:ascii="Arial" w:eastAsia="Cambria" w:hAnsi="Arial" w:cs="Arial"/>
                <w:sz w:val="18"/>
                <w:szCs w:val="18"/>
                <w:lang w:val="en-US"/>
              </w:rPr>
            </w:pPr>
          </w:p>
          <w:p w:rsidR="00F21A77" w:rsidRPr="007E3DC5" w:rsidRDefault="00F21A77" w:rsidP="00951C96">
            <w:pPr>
              <w:tabs>
                <w:tab w:val="left" w:pos="284"/>
              </w:tabs>
              <w:ind w:left="0"/>
              <w:rPr>
                <w:rFonts w:ascii="Arial" w:eastAsia="Cambria" w:hAnsi="Arial" w:cs="Arial"/>
                <w:sz w:val="18"/>
                <w:szCs w:val="18"/>
                <w:lang w:val="en-US"/>
              </w:rPr>
            </w:pPr>
          </w:p>
          <w:p w:rsidR="00130D9B" w:rsidRPr="007E3DC5" w:rsidRDefault="00130D9B" w:rsidP="00951C96">
            <w:pPr>
              <w:tabs>
                <w:tab w:val="left" w:pos="284"/>
              </w:tabs>
              <w:ind w:left="0"/>
              <w:rPr>
                <w:rFonts w:ascii="Arial" w:eastAsia="Cambria" w:hAnsi="Arial" w:cs="Arial"/>
                <w:sz w:val="18"/>
                <w:szCs w:val="18"/>
                <w:lang w:val="en-US"/>
              </w:rPr>
            </w:pPr>
          </w:p>
          <w:p w:rsidR="00AE64FE" w:rsidRPr="00FF3766" w:rsidRDefault="00AE64FE" w:rsidP="00AE64FE">
            <w:pPr>
              <w:numPr>
                <w:ilvl w:val="0"/>
                <w:numId w:val="3"/>
              </w:numPr>
              <w:tabs>
                <w:tab w:val="left" w:pos="284"/>
              </w:tabs>
              <w:ind w:left="0" w:firstLine="0"/>
              <w:rPr>
                <w:rFonts w:ascii="Arial" w:eastAsia="Cambria" w:hAnsi="Arial" w:cs="Arial"/>
                <w:sz w:val="18"/>
                <w:szCs w:val="18"/>
                <w:lang w:val="en-US"/>
              </w:rPr>
            </w:pPr>
            <w:r w:rsidRPr="00FF3766">
              <w:rPr>
                <w:rFonts w:ascii="Arial" w:eastAsia="Cambria" w:hAnsi="Arial" w:cs="Arial"/>
                <w:b/>
                <w:sz w:val="18"/>
                <w:szCs w:val="18"/>
                <w:lang w:val="en-US"/>
              </w:rPr>
              <w:t xml:space="preserve">Headings. </w:t>
            </w:r>
            <w:r w:rsidRPr="00FF3766">
              <w:rPr>
                <w:rFonts w:ascii="Arial" w:eastAsia="Cambria" w:hAnsi="Arial" w:cs="Arial"/>
                <w:sz w:val="18"/>
                <w:szCs w:val="18"/>
                <w:lang w:val="en-US"/>
              </w:rPr>
              <w:t>Section headings are included for convenience only and are not to be used to construe or interpret this Agreement. All references contained herein to sections or subsections shall refer to the sections or subsections of this Agreement, unless specific reference is made to the sections or subsections of another document.</w:t>
            </w:r>
          </w:p>
          <w:p w:rsidR="00130D9B" w:rsidRPr="007E3DC5" w:rsidRDefault="00130D9B" w:rsidP="00951C96">
            <w:pPr>
              <w:tabs>
                <w:tab w:val="left" w:pos="284"/>
              </w:tabs>
              <w:ind w:left="0"/>
              <w:rPr>
                <w:rFonts w:ascii="Arial" w:eastAsia="Cambria" w:hAnsi="Arial" w:cs="Arial"/>
                <w:sz w:val="18"/>
                <w:szCs w:val="18"/>
                <w:lang w:val="en-US"/>
              </w:rPr>
            </w:pPr>
          </w:p>
          <w:p w:rsidR="00F21A77" w:rsidRPr="00FF3766" w:rsidRDefault="00AE64FE" w:rsidP="00951C96">
            <w:pPr>
              <w:numPr>
                <w:ilvl w:val="0"/>
                <w:numId w:val="3"/>
              </w:numPr>
              <w:tabs>
                <w:tab w:val="left" w:pos="284"/>
              </w:tabs>
              <w:ind w:left="0" w:firstLine="0"/>
              <w:rPr>
                <w:rFonts w:ascii="Arial" w:eastAsia="Cambria" w:hAnsi="Arial" w:cs="Arial"/>
                <w:sz w:val="18"/>
                <w:szCs w:val="18"/>
                <w:lang w:val="en-US"/>
              </w:rPr>
            </w:pPr>
            <w:r w:rsidRPr="00FF3766">
              <w:rPr>
                <w:rFonts w:ascii="Arial" w:eastAsia="Cambria" w:hAnsi="Arial" w:cs="Arial"/>
                <w:b/>
                <w:sz w:val="18"/>
                <w:szCs w:val="18"/>
                <w:lang w:val="en-US"/>
              </w:rPr>
              <w:t>Third-Party Beneficiary.</w:t>
            </w:r>
            <w:r w:rsidRPr="00FF3766">
              <w:rPr>
                <w:rFonts w:ascii="Arial" w:eastAsia="Cambria" w:hAnsi="Arial" w:cs="Arial"/>
                <w:sz w:val="18"/>
                <w:szCs w:val="18"/>
                <w:lang w:val="en-US"/>
              </w:rPr>
              <w:t xml:space="preserve"> </w:t>
            </w: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lang w:val="en-US"/>
              </w:rPr>
              <w:t xml:space="preserve"> and Subscriber hereby designate </w:t>
            </w:r>
            <w:r w:rsidR="00951C96" w:rsidRPr="00FF3766">
              <w:rPr>
                <w:rFonts w:ascii="Arial" w:eastAsia="Cambria" w:hAnsi="Arial" w:cs="Arial"/>
                <w:sz w:val="18"/>
                <w:szCs w:val="18"/>
                <w:lang w:val="en-US"/>
              </w:rPr>
              <w:t>MDX</w:t>
            </w:r>
            <w:r w:rsidRPr="00FF3766">
              <w:rPr>
                <w:rFonts w:ascii="Arial" w:eastAsia="Cambria" w:hAnsi="Arial" w:cs="Arial"/>
                <w:sz w:val="18"/>
                <w:szCs w:val="18"/>
                <w:lang w:val="en-US"/>
              </w:rPr>
              <w:t xml:space="preserve"> as a third-party beneficiary of this Agreement, having the right to enforce any provision herein.</w:t>
            </w:r>
          </w:p>
          <w:p w:rsidR="00130D9B" w:rsidRPr="007E3DC5" w:rsidRDefault="00130D9B" w:rsidP="00130D9B">
            <w:pPr>
              <w:tabs>
                <w:tab w:val="left" w:pos="284"/>
              </w:tabs>
              <w:ind w:left="0"/>
              <w:rPr>
                <w:rFonts w:ascii="Arial" w:eastAsia="Cambria" w:hAnsi="Arial" w:cs="Arial"/>
                <w:sz w:val="18"/>
                <w:szCs w:val="18"/>
                <w:lang w:val="en-US"/>
              </w:rPr>
            </w:pPr>
          </w:p>
          <w:p w:rsidR="00AE64FE" w:rsidRPr="00FF3766" w:rsidRDefault="00AE64FE" w:rsidP="00AE64FE">
            <w:pPr>
              <w:numPr>
                <w:ilvl w:val="0"/>
                <w:numId w:val="3"/>
              </w:numPr>
              <w:tabs>
                <w:tab w:val="left" w:pos="284"/>
              </w:tabs>
              <w:ind w:left="0" w:firstLine="0"/>
              <w:rPr>
                <w:rFonts w:ascii="Arial" w:eastAsia="Cambria" w:hAnsi="Arial" w:cs="Arial"/>
                <w:sz w:val="18"/>
                <w:szCs w:val="18"/>
                <w:lang w:val="en-US"/>
              </w:rPr>
            </w:pPr>
            <w:r w:rsidRPr="00FF3766">
              <w:rPr>
                <w:rFonts w:ascii="Arial" w:eastAsia="Cambria" w:hAnsi="Arial" w:cs="Arial"/>
                <w:b/>
                <w:sz w:val="18"/>
                <w:szCs w:val="18"/>
                <w:lang w:val="en-US"/>
              </w:rPr>
              <w:t>Cumulative Remedies.</w:t>
            </w:r>
            <w:r w:rsidRPr="00FF3766">
              <w:rPr>
                <w:rFonts w:ascii="Arial" w:eastAsia="Cambria" w:hAnsi="Arial" w:cs="Arial"/>
                <w:sz w:val="18"/>
                <w:szCs w:val="18"/>
                <w:lang w:val="en-US"/>
              </w:rPr>
              <w:t xml:space="preserve"> Except as otherwise limited herein, all rights and remedies provided in this Agreement are cumulative and not exclusive, and the exercise by either party of any right or remedy does not preclude the exercise of any other rights or remedies that may now or subsequently be available at law, equity, by statute, in any other agreement between the parties (including without limitation the Additional Agreements) or otherwise.</w:t>
            </w:r>
          </w:p>
          <w:p w:rsidR="00AE64FE" w:rsidRPr="00FF3766" w:rsidRDefault="00AE64FE" w:rsidP="00951C96">
            <w:pPr>
              <w:tabs>
                <w:tab w:val="left" w:pos="284"/>
              </w:tabs>
              <w:ind w:left="0"/>
              <w:jc w:val="left"/>
              <w:rPr>
                <w:rFonts w:ascii="Arial" w:eastAsia="Cambria" w:hAnsi="Arial" w:cs="Arial"/>
                <w:sz w:val="18"/>
                <w:szCs w:val="18"/>
                <w:lang w:val="en-US"/>
              </w:rPr>
            </w:pPr>
          </w:p>
          <w:p w:rsidR="00AE64FE" w:rsidRPr="00FF3766" w:rsidRDefault="00AE64FE" w:rsidP="00951C96">
            <w:pPr>
              <w:tabs>
                <w:tab w:val="left" w:pos="284"/>
              </w:tabs>
              <w:ind w:left="0"/>
              <w:jc w:val="left"/>
              <w:rPr>
                <w:rFonts w:ascii="Arial" w:eastAsia="Cambria" w:hAnsi="Arial" w:cs="Arial"/>
                <w:sz w:val="18"/>
                <w:szCs w:val="18"/>
                <w:lang w:val="en-US"/>
              </w:rPr>
            </w:pPr>
          </w:p>
          <w:p w:rsidR="00AE64FE" w:rsidRPr="00FF3766" w:rsidRDefault="00AE64FE" w:rsidP="00951C96">
            <w:pPr>
              <w:tabs>
                <w:tab w:val="left" w:pos="284"/>
              </w:tabs>
              <w:ind w:left="0"/>
              <w:jc w:val="left"/>
              <w:rPr>
                <w:rFonts w:ascii="Arial" w:eastAsia="Cambria" w:hAnsi="Arial" w:cs="Arial"/>
                <w:sz w:val="18"/>
                <w:szCs w:val="18"/>
                <w:lang w:val="en-US"/>
              </w:rPr>
            </w:pPr>
          </w:p>
          <w:p w:rsidR="00AE64FE" w:rsidRPr="00FF3766" w:rsidRDefault="00AE64FE" w:rsidP="00951C96">
            <w:pPr>
              <w:tabs>
                <w:tab w:val="left" w:pos="284"/>
              </w:tabs>
              <w:ind w:left="0"/>
              <w:jc w:val="left"/>
              <w:rPr>
                <w:rFonts w:ascii="Arial" w:eastAsia="Cambria" w:hAnsi="Arial" w:cs="Arial"/>
                <w:sz w:val="18"/>
                <w:szCs w:val="18"/>
                <w:lang w:val="en-US"/>
              </w:rPr>
            </w:pPr>
          </w:p>
          <w:p w:rsidR="00F21A77" w:rsidRPr="007E3DC5" w:rsidRDefault="00F21A77" w:rsidP="00951C96">
            <w:pPr>
              <w:tabs>
                <w:tab w:val="left" w:pos="284"/>
              </w:tabs>
              <w:ind w:left="0"/>
              <w:jc w:val="left"/>
              <w:rPr>
                <w:rFonts w:ascii="Arial" w:eastAsia="Cambria" w:hAnsi="Arial" w:cs="Arial"/>
                <w:sz w:val="18"/>
                <w:szCs w:val="18"/>
                <w:lang w:val="en-US"/>
              </w:rPr>
            </w:pPr>
          </w:p>
          <w:p w:rsidR="00AE64FE" w:rsidRPr="00FF3766" w:rsidRDefault="00AE64FE" w:rsidP="00951C96">
            <w:pPr>
              <w:numPr>
                <w:ilvl w:val="0"/>
                <w:numId w:val="3"/>
              </w:numPr>
              <w:tabs>
                <w:tab w:val="left" w:pos="284"/>
              </w:tabs>
              <w:ind w:left="0" w:firstLine="0"/>
              <w:jc w:val="left"/>
              <w:rPr>
                <w:rFonts w:ascii="Arial" w:eastAsia="Cambria" w:hAnsi="Arial" w:cs="Arial"/>
                <w:sz w:val="18"/>
                <w:szCs w:val="18"/>
                <w:lang w:val="en-US"/>
              </w:rPr>
            </w:pPr>
            <w:r w:rsidRPr="00FF3766">
              <w:rPr>
                <w:rFonts w:ascii="Arial" w:eastAsia="Cambria" w:hAnsi="Arial" w:cs="Arial"/>
                <w:b/>
                <w:sz w:val="18"/>
                <w:szCs w:val="18"/>
                <w:lang w:val="en-US"/>
              </w:rPr>
              <w:t>Counterparts.</w:t>
            </w:r>
            <w:r w:rsidRPr="00FF3766">
              <w:rPr>
                <w:rFonts w:ascii="Arial" w:eastAsia="Cambria" w:hAnsi="Arial" w:cs="Arial"/>
                <w:sz w:val="18"/>
                <w:szCs w:val="18"/>
                <w:lang w:val="en-US"/>
              </w:rPr>
              <w:t xml:space="preserve"> This Agreement may be executed in </w:t>
            </w:r>
            <w:r w:rsidRPr="00FF3766">
              <w:rPr>
                <w:rFonts w:ascii="Arial" w:eastAsia="Cambria" w:hAnsi="Arial" w:cs="Arial"/>
                <w:sz w:val="18"/>
                <w:szCs w:val="18"/>
                <w:lang w:val="en-US"/>
              </w:rPr>
              <w:lastRenderedPageBreak/>
              <w:t>one or more counterparts, which shall each be considered an original but all of which shall constitute one and the same Agreement.</w:t>
            </w:r>
          </w:p>
          <w:p w:rsidR="00FA1A8A" w:rsidRPr="007E3DC5" w:rsidRDefault="00FA1A8A" w:rsidP="00951C96">
            <w:pPr>
              <w:tabs>
                <w:tab w:val="left" w:pos="284"/>
              </w:tabs>
              <w:ind w:left="0"/>
              <w:jc w:val="left"/>
              <w:rPr>
                <w:rFonts w:ascii="Arial" w:eastAsia="Cambria" w:hAnsi="Arial" w:cs="Arial"/>
                <w:sz w:val="18"/>
                <w:szCs w:val="18"/>
                <w:lang w:val="en-US"/>
              </w:rPr>
            </w:pPr>
          </w:p>
          <w:p w:rsidR="00FA1A8A" w:rsidRPr="007E3DC5" w:rsidRDefault="00FA1A8A" w:rsidP="00951C96">
            <w:pPr>
              <w:tabs>
                <w:tab w:val="left" w:pos="284"/>
              </w:tabs>
              <w:ind w:left="0"/>
              <w:jc w:val="left"/>
              <w:rPr>
                <w:rFonts w:ascii="Arial" w:eastAsia="Cambria" w:hAnsi="Arial" w:cs="Arial"/>
                <w:sz w:val="18"/>
                <w:szCs w:val="18"/>
                <w:lang w:val="en-US"/>
              </w:rPr>
            </w:pPr>
          </w:p>
        </w:tc>
        <w:tc>
          <w:tcPr>
            <w:tcW w:w="4794" w:type="dxa"/>
          </w:tcPr>
          <w:p w:rsidR="00AE64FE" w:rsidRPr="007E3DC5" w:rsidRDefault="00AE64FE" w:rsidP="00951C96">
            <w:pPr>
              <w:ind w:left="0"/>
              <w:rPr>
                <w:rFonts w:ascii="Arial" w:eastAsia="Cambria" w:hAnsi="Arial" w:cs="Arial"/>
                <w:b/>
                <w:sz w:val="18"/>
                <w:szCs w:val="18"/>
                <w:lang w:val="en-US"/>
              </w:rPr>
            </w:pPr>
          </w:p>
          <w:p w:rsidR="00AE64FE" w:rsidRPr="00FF3766" w:rsidRDefault="00DF0CA5" w:rsidP="00951C96">
            <w:pPr>
              <w:ind w:left="0"/>
              <w:rPr>
                <w:rFonts w:ascii="Arial" w:eastAsia="Cambria" w:hAnsi="Arial" w:cs="Arial"/>
                <w:sz w:val="18"/>
                <w:szCs w:val="18"/>
              </w:rPr>
            </w:pPr>
            <w:r w:rsidRPr="00FF3766">
              <w:rPr>
                <w:rFonts w:ascii="Arial" w:eastAsia="Cambria" w:hAnsi="Arial" w:cs="Arial"/>
                <w:b/>
                <w:sz w:val="18"/>
                <w:szCs w:val="18"/>
                <w:lang w:val="en-US"/>
              </w:rPr>
              <w:t>Bats</w:t>
            </w:r>
            <w:r w:rsidRPr="00FF3766">
              <w:rPr>
                <w:rFonts w:ascii="Arial" w:eastAsia="Cambria" w:hAnsi="Arial" w:cs="Arial"/>
                <w:b/>
                <w:sz w:val="18"/>
                <w:szCs w:val="18"/>
              </w:rPr>
              <w:t xml:space="preserve"> </w:t>
            </w:r>
            <w:r w:rsidR="00AE64FE" w:rsidRPr="00FF3766">
              <w:rPr>
                <w:rFonts w:ascii="Arial" w:eastAsia="Cambria" w:hAnsi="Arial" w:cs="Arial"/>
                <w:b/>
                <w:sz w:val="18"/>
                <w:szCs w:val="18"/>
                <w:lang w:val="en-US"/>
              </w:rPr>
              <w:t>Global</w:t>
            </w:r>
            <w:r w:rsidR="00AE64FE" w:rsidRPr="00FF3766">
              <w:rPr>
                <w:rFonts w:ascii="Arial" w:eastAsia="Cambria" w:hAnsi="Arial" w:cs="Arial"/>
                <w:b/>
                <w:sz w:val="18"/>
                <w:szCs w:val="18"/>
              </w:rPr>
              <w:t xml:space="preserve"> </w:t>
            </w:r>
            <w:r w:rsidR="00AE64FE" w:rsidRPr="00FF3766">
              <w:rPr>
                <w:rFonts w:ascii="Arial" w:eastAsia="Cambria" w:hAnsi="Arial" w:cs="Arial"/>
                <w:b/>
                <w:sz w:val="18"/>
                <w:szCs w:val="18"/>
                <w:lang w:val="en-US"/>
              </w:rPr>
              <w:t>Markets</w:t>
            </w:r>
            <w:r w:rsidR="00AE64FE" w:rsidRPr="00FF3766">
              <w:rPr>
                <w:rFonts w:ascii="Arial" w:eastAsia="Cambria" w:hAnsi="Arial" w:cs="Arial"/>
                <w:b/>
                <w:sz w:val="18"/>
                <w:szCs w:val="18"/>
              </w:rPr>
              <w:t xml:space="preserve">. Пользовательский Договор </w:t>
            </w:r>
            <w:r w:rsidR="00AE64FE" w:rsidRPr="00FF3766">
              <w:rPr>
                <w:rFonts w:ascii="Arial" w:eastAsia="Cambria" w:hAnsi="Arial" w:cs="Arial"/>
                <w:sz w:val="18"/>
                <w:szCs w:val="18"/>
              </w:rPr>
              <w:t>РАСКРЫТИЕ ИНФОРМАЦИИ – ОБЯЗАТЕЛЬНО К ОЗНАКОМЛЕНИЮ</w:t>
            </w:r>
          </w:p>
          <w:p w:rsidR="00AE64FE" w:rsidRPr="00FF3766" w:rsidRDefault="00AE64FE" w:rsidP="00951C96">
            <w:pPr>
              <w:ind w:left="0"/>
              <w:rPr>
                <w:rFonts w:ascii="Arial" w:eastAsia="Cambria" w:hAnsi="Arial" w:cs="Arial"/>
                <w:sz w:val="18"/>
                <w:szCs w:val="18"/>
              </w:rPr>
            </w:pPr>
            <w:r w:rsidRPr="00FF3766">
              <w:rPr>
                <w:rFonts w:ascii="Arial" w:eastAsia="Cambria" w:hAnsi="Arial" w:cs="Arial"/>
                <w:sz w:val="18"/>
                <w:szCs w:val="18"/>
              </w:rPr>
              <w:t>Перевод на русский язык предоставлен исключительно для удобства. В случае возникновения споров необходимо ссылаться на англоязычную версию как имеющую обязательный характер</w:t>
            </w:r>
          </w:p>
          <w:p w:rsidR="00AE64FE" w:rsidRPr="00FF3766" w:rsidRDefault="00AE64FE" w:rsidP="00951C96">
            <w:pPr>
              <w:ind w:left="0"/>
              <w:rPr>
                <w:rFonts w:ascii="Arial" w:eastAsia="Cambria" w:hAnsi="Arial" w:cs="Arial"/>
                <w:sz w:val="18"/>
                <w:szCs w:val="18"/>
              </w:rPr>
            </w:pPr>
          </w:p>
          <w:p w:rsidR="00AE64FE" w:rsidRPr="00FF3766" w:rsidRDefault="00AE64FE" w:rsidP="00951C96">
            <w:pPr>
              <w:ind w:left="0"/>
              <w:rPr>
                <w:rFonts w:ascii="Arial" w:eastAsia="Cambria" w:hAnsi="Arial" w:cs="Arial"/>
                <w:sz w:val="18"/>
                <w:szCs w:val="18"/>
              </w:rPr>
            </w:pPr>
            <w:proofErr w:type="spellStart"/>
            <w:r w:rsidRPr="00FF3766">
              <w:rPr>
                <w:rFonts w:ascii="Arial" w:eastAsia="Cambria" w:hAnsi="Arial" w:cs="Arial"/>
                <w:sz w:val="18"/>
                <w:szCs w:val="18"/>
                <w:lang w:val="en-US"/>
              </w:rPr>
              <w:t>Devexperts</w:t>
            </w:r>
            <w:proofErr w:type="spellEnd"/>
            <w:r w:rsidRPr="00FF3766">
              <w:rPr>
                <w:rFonts w:ascii="Arial" w:eastAsia="Cambria" w:hAnsi="Arial" w:cs="Arial"/>
                <w:sz w:val="18"/>
                <w:szCs w:val="18"/>
              </w:rPr>
              <w:t xml:space="preserve"> не имеет права вносить изменения в какое–либо условие данного Договора или отказаться от него. Любая попытка внесения изменений в данный Договор не будет иметь юридической силы, если такие изменения не внесены </w:t>
            </w:r>
            <w:proofErr w:type="spellStart"/>
            <w:r w:rsidR="00627232" w:rsidRPr="00FF3766">
              <w:rPr>
                <w:rFonts w:ascii="Arial" w:eastAsia="Cambria" w:hAnsi="Arial" w:cs="Arial"/>
                <w:sz w:val="18"/>
                <w:szCs w:val="18"/>
              </w:rPr>
              <w:t>Market</w:t>
            </w:r>
            <w:proofErr w:type="spellEnd"/>
            <w:r w:rsidR="00627232" w:rsidRPr="00FF3766">
              <w:rPr>
                <w:rFonts w:ascii="Arial" w:eastAsia="Cambria" w:hAnsi="Arial" w:cs="Arial"/>
                <w:sz w:val="18"/>
                <w:szCs w:val="18"/>
              </w:rPr>
              <w:t xml:space="preserve"> </w:t>
            </w:r>
            <w:proofErr w:type="spellStart"/>
            <w:r w:rsidR="00627232" w:rsidRPr="00FF3766">
              <w:rPr>
                <w:rFonts w:ascii="Arial" w:eastAsia="Cambria" w:hAnsi="Arial" w:cs="Arial"/>
                <w:sz w:val="18"/>
                <w:szCs w:val="18"/>
              </w:rPr>
              <w:t>Data</w:t>
            </w:r>
            <w:proofErr w:type="spellEnd"/>
            <w:r w:rsidR="00627232" w:rsidRPr="00FF3766">
              <w:rPr>
                <w:rFonts w:ascii="Arial" w:eastAsia="Cambria" w:hAnsi="Arial" w:cs="Arial"/>
                <w:sz w:val="18"/>
                <w:szCs w:val="18"/>
              </w:rPr>
              <w:t xml:space="preserve"> </w:t>
            </w:r>
            <w:proofErr w:type="spellStart"/>
            <w:r w:rsidR="00627232" w:rsidRPr="00FF3766">
              <w:rPr>
                <w:rFonts w:ascii="Arial" w:eastAsia="Cambria" w:hAnsi="Arial" w:cs="Arial"/>
                <w:sz w:val="18"/>
                <w:szCs w:val="18"/>
              </w:rPr>
              <w:t>Express</w:t>
            </w:r>
            <w:proofErr w:type="spellEnd"/>
            <w:r w:rsidR="00627232" w:rsidRPr="00FF3766">
              <w:rPr>
                <w:rFonts w:ascii="Arial" w:eastAsia="Cambria" w:hAnsi="Arial" w:cs="Arial"/>
                <w:sz w:val="18"/>
                <w:szCs w:val="18"/>
              </w:rPr>
              <w:t xml:space="preserve">, LLC </w:t>
            </w:r>
            <w:r w:rsidRPr="00FF3766">
              <w:rPr>
                <w:rFonts w:ascii="Arial" w:eastAsia="Cambria" w:hAnsi="Arial" w:cs="Arial"/>
                <w:sz w:val="18"/>
                <w:szCs w:val="18"/>
              </w:rPr>
              <w:t>или ее аффилированными лицами (совместно именуемые «</w:t>
            </w:r>
            <w:r w:rsidR="00951C96" w:rsidRPr="00FF3766">
              <w:rPr>
                <w:rFonts w:ascii="Arial" w:eastAsia="Cambria" w:hAnsi="Arial" w:cs="Arial"/>
                <w:sz w:val="18"/>
                <w:szCs w:val="18"/>
              </w:rPr>
              <w:t>MDX</w:t>
            </w:r>
            <w:r w:rsidRPr="00FF3766">
              <w:rPr>
                <w:rFonts w:ascii="Arial" w:eastAsia="Cambria" w:hAnsi="Arial" w:cs="Arial"/>
                <w:sz w:val="18"/>
                <w:szCs w:val="18"/>
              </w:rPr>
              <w:t>»).</w:t>
            </w:r>
          </w:p>
          <w:p w:rsidR="00AE64FE" w:rsidRPr="00FF3766" w:rsidRDefault="00AE64FE" w:rsidP="00951C96">
            <w:pPr>
              <w:ind w:left="0"/>
              <w:rPr>
                <w:rFonts w:ascii="Arial" w:eastAsia="Cambria" w:hAnsi="Arial" w:cs="Arial"/>
                <w:sz w:val="18"/>
                <w:szCs w:val="18"/>
              </w:rPr>
            </w:pPr>
            <w:r w:rsidRPr="00FF3766">
              <w:rPr>
                <w:rFonts w:ascii="Arial" w:eastAsia="Cambria" w:hAnsi="Arial" w:cs="Arial"/>
                <w:sz w:val="18"/>
                <w:szCs w:val="18"/>
              </w:rPr>
              <w:t xml:space="preserve">Данный Пользовательский Договор </w:t>
            </w:r>
            <w:r w:rsidR="00DF0CA5" w:rsidRPr="00FF3766">
              <w:rPr>
                <w:rFonts w:ascii="Arial" w:eastAsia="Cambria" w:hAnsi="Arial" w:cs="Arial"/>
                <w:sz w:val="18"/>
                <w:szCs w:val="18"/>
                <w:lang w:val="en-US"/>
              </w:rPr>
              <w:t>BATS</w:t>
            </w:r>
            <w:r w:rsidRPr="00FF3766">
              <w:rPr>
                <w:rFonts w:ascii="Arial" w:eastAsia="Cambria" w:hAnsi="Arial" w:cs="Arial"/>
                <w:sz w:val="18"/>
                <w:szCs w:val="18"/>
              </w:rPr>
              <w:t xml:space="preserve"> </w:t>
            </w:r>
            <w:r w:rsidRPr="00FF3766">
              <w:rPr>
                <w:rFonts w:ascii="Arial" w:eastAsia="Cambria" w:hAnsi="Arial" w:cs="Arial"/>
                <w:sz w:val="18"/>
                <w:szCs w:val="18"/>
                <w:lang w:val="en-US"/>
              </w:rPr>
              <w:t>Global</w:t>
            </w:r>
            <w:r w:rsidR="00627232" w:rsidRPr="00FF3766">
              <w:rPr>
                <w:rFonts w:ascii="Arial" w:eastAsia="Cambria" w:hAnsi="Arial" w:cs="Arial"/>
                <w:sz w:val="18"/>
                <w:szCs w:val="18"/>
              </w:rPr>
              <w:t xml:space="preserve"> </w:t>
            </w:r>
            <w:r w:rsidRPr="00FF3766">
              <w:rPr>
                <w:rFonts w:ascii="Arial" w:eastAsia="Cambria" w:hAnsi="Arial" w:cs="Arial"/>
                <w:sz w:val="18"/>
                <w:szCs w:val="18"/>
                <w:lang w:val="en-US"/>
              </w:rPr>
              <w:t>Markets</w:t>
            </w:r>
            <w:r w:rsidRPr="00FF3766">
              <w:rPr>
                <w:rFonts w:ascii="Arial" w:eastAsia="Cambria" w:hAnsi="Arial" w:cs="Arial"/>
                <w:sz w:val="18"/>
                <w:szCs w:val="18"/>
              </w:rPr>
              <w:t xml:space="preserve"> (далее – «Договор») заключен между </w:t>
            </w:r>
            <w:proofErr w:type="spellStart"/>
            <w:r w:rsidR="00F5252F" w:rsidRPr="00FF3766">
              <w:rPr>
                <w:rFonts w:ascii="Arial" w:eastAsia="Cambria" w:hAnsi="Arial" w:cs="Arial"/>
                <w:sz w:val="18"/>
                <w:szCs w:val="18"/>
              </w:rPr>
              <w:t>Devexperts</w:t>
            </w:r>
            <w:proofErr w:type="spellEnd"/>
            <w:r w:rsidR="00F5252F" w:rsidRPr="00FF3766">
              <w:rPr>
                <w:rFonts w:ascii="Arial" w:eastAsia="Cambria" w:hAnsi="Arial" w:cs="Arial"/>
                <w:sz w:val="18"/>
                <w:szCs w:val="18"/>
              </w:rPr>
              <w:t xml:space="preserve"> </w:t>
            </w:r>
            <w:proofErr w:type="spellStart"/>
            <w:r w:rsidR="00F5252F" w:rsidRPr="00FF3766">
              <w:rPr>
                <w:rFonts w:ascii="Arial" w:eastAsia="Cambria" w:hAnsi="Arial" w:cs="Arial"/>
                <w:sz w:val="18"/>
                <w:szCs w:val="18"/>
              </w:rPr>
              <w:t>Inc</w:t>
            </w:r>
            <w:proofErr w:type="spellEnd"/>
            <w:r w:rsidR="00F5252F" w:rsidRPr="00FF3766">
              <w:rPr>
                <w:rFonts w:ascii="Arial" w:eastAsia="Cambria" w:hAnsi="Arial" w:cs="Arial"/>
                <w:sz w:val="18"/>
                <w:szCs w:val="18"/>
              </w:rPr>
              <w:t xml:space="preserve">., </w:t>
            </w:r>
            <w:r w:rsidR="00627232" w:rsidRPr="00FF3766">
              <w:rPr>
                <w:rFonts w:ascii="Arial" w:eastAsia="Cambria" w:hAnsi="Arial" w:cs="Arial"/>
                <w:sz w:val="18"/>
                <w:szCs w:val="18"/>
              </w:rPr>
              <w:t>зарегистрированным по адресу:</w:t>
            </w:r>
            <w:r w:rsidR="00F5252F" w:rsidRPr="00FF3766">
              <w:rPr>
                <w:rFonts w:ascii="Arial" w:eastAsia="Cambria" w:hAnsi="Arial" w:cs="Arial"/>
                <w:sz w:val="18"/>
                <w:szCs w:val="18"/>
              </w:rPr>
              <w:t xml:space="preserve"> 2500 </w:t>
            </w:r>
            <w:proofErr w:type="spellStart"/>
            <w:r w:rsidR="00F5252F" w:rsidRPr="00FF3766">
              <w:rPr>
                <w:rFonts w:ascii="Arial" w:eastAsia="Cambria" w:hAnsi="Arial" w:cs="Arial"/>
                <w:sz w:val="18"/>
                <w:szCs w:val="18"/>
              </w:rPr>
              <w:t>Plaza</w:t>
            </w:r>
            <w:proofErr w:type="spellEnd"/>
            <w:r w:rsidR="00F5252F" w:rsidRPr="00FF3766">
              <w:rPr>
                <w:rFonts w:ascii="Arial" w:eastAsia="Cambria" w:hAnsi="Arial" w:cs="Arial"/>
                <w:sz w:val="18"/>
                <w:szCs w:val="18"/>
              </w:rPr>
              <w:t xml:space="preserve"> 5, </w:t>
            </w:r>
            <w:proofErr w:type="spellStart"/>
            <w:r w:rsidR="00F5252F" w:rsidRPr="00FF3766">
              <w:rPr>
                <w:rFonts w:ascii="Arial" w:eastAsia="Cambria" w:hAnsi="Arial" w:cs="Arial"/>
                <w:sz w:val="18"/>
                <w:szCs w:val="18"/>
              </w:rPr>
              <w:t>Harborside</w:t>
            </w:r>
            <w:proofErr w:type="spellEnd"/>
            <w:r w:rsidR="00F5252F" w:rsidRPr="00FF3766">
              <w:rPr>
                <w:rFonts w:ascii="Arial" w:eastAsia="Cambria" w:hAnsi="Arial" w:cs="Arial"/>
                <w:sz w:val="18"/>
                <w:szCs w:val="18"/>
              </w:rPr>
              <w:t xml:space="preserve"> </w:t>
            </w:r>
            <w:proofErr w:type="spellStart"/>
            <w:r w:rsidR="00F5252F" w:rsidRPr="00FF3766">
              <w:rPr>
                <w:rFonts w:ascii="Arial" w:eastAsia="Cambria" w:hAnsi="Arial" w:cs="Arial"/>
                <w:sz w:val="18"/>
                <w:szCs w:val="18"/>
              </w:rPr>
              <w:t>Financial</w:t>
            </w:r>
            <w:proofErr w:type="spellEnd"/>
            <w:r w:rsidR="00F5252F" w:rsidRPr="00FF3766">
              <w:rPr>
                <w:rFonts w:ascii="Arial" w:eastAsia="Cambria" w:hAnsi="Arial" w:cs="Arial"/>
                <w:sz w:val="18"/>
                <w:szCs w:val="18"/>
              </w:rPr>
              <w:t xml:space="preserve"> </w:t>
            </w:r>
            <w:proofErr w:type="spellStart"/>
            <w:r w:rsidR="00F5252F" w:rsidRPr="00FF3766">
              <w:rPr>
                <w:rFonts w:ascii="Arial" w:eastAsia="Cambria" w:hAnsi="Arial" w:cs="Arial"/>
                <w:sz w:val="18"/>
                <w:szCs w:val="18"/>
              </w:rPr>
              <w:t>Center</w:t>
            </w:r>
            <w:proofErr w:type="spellEnd"/>
            <w:r w:rsidR="00F5252F" w:rsidRPr="00FF3766">
              <w:rPr>
                <w:rFonts w:ascii="Arial" w:eastAsia="Cambria" w:hAnsi="Arial" w:cs="Arial"/>
                <w:sz w:val="18"/>
                <w:szCs w:val="18"/>
              </w:rPr>
              <w:t xml:space="preserve">, </w:t>
            </w:r>
            <w:proofErr w:type="spellStart"/>
            <w:r w:rsidR="00F5252F" w:rsidRPr="00FF3766">
              <w:rPr>
                <w:rFonts w:ascii="Arial" w:eastAsia="Cambria" w:hAnsi="Arial" w:cs="Arial"/>
                <w:sz w:val="18"/>
                <w:szCs w:val="18"/>
              </w:rPr>
              <w:t>Jersey</w:t>
            </w:r>
            <w:proofErr w:type="spellEnd"/>
            <w:r w:rsidR="00F5252F" w:rsidRPr="00FF3766">
              <w:rPr>
                <w:rFonts w:ascii="Arial" w:eastAsia="Cambria" w:hAnsi="Arial" w:cs="Arial"/>
                <w:sz w:val="18"/>
                <w:szCs w:val="18"/>
              </w:rPr>
              <w:t xml:space="preserve"> </w:t>
            </w:r>
            <w:proofErr w:type="spellStart"/>
            <w:r w:rsidR="00F5252F" w:rsidRPr="00FF3766">
              <w:rPr>
                <w:rFonts w:ascii="Arial" w:eastAsia="Cambria" w:hAnsi="Arial" w:cs="Arial"/>
                <w:sz w:val="18"/>
                <w:szCs w:val="18"/>
              </w:rPr>
              <w:t>City</w:t>
            </w:r>
            <w:proofErr w:type="spellEnd"/>
            <w:r w:rsidR="00F5252F" w:rsidRPr="00FF3766">
              <w:rPr>
                <w:rFonts w:ascii="Arial" w:eastAsia="Cambria" w:hAnsi="Arial" w:cs="Arial"/>
                <w:sz w:val="18"/>
                <w:szCs w:val="18"/>
              </w:rPr>
              <w:t xml:space="preserve">, NJ 07311, </w:t>
            </w:r>
            <w:r w:rsidR="00627232" w:rsidRPr="00FF3766">
              <w:rPr>
                <w:rFonts w:ascii="Arial" w:eastAsia="Cambria" w:hAnsi="Arial" w:cs="Arial"/>
                <w:sz w:val="18"/>
                <w:szCs w:val="18"/>
              </w:rPr>
              <w:t>регистрационный номер</w:t>
            </w:r>
            <w:r w:rsidR="00F5252F" w:rsidRPr="00FF3766">
              <w:rPr>
                <w:rFonts w:ascii="Arial" w:eastAsia="Cambria" w:hAnsi="Arial" w:cs="Arial"/>
                <w:sz w:val="18"/>
                <w:szCs w:val="18"/>
              </w:rPr>
              <w:t xml:space="preserve"> 4722932</w:t>
            </w:r>
            <w:r w:rsidRPr="00FF3766">
              <w:rPr>
                <w:rFonts w:ascii="Arial" w:eastAsia="Cambria" w:hAnsi="Arial" w:cs="Arial"/>
                <w:sz w:val="18"/>
                <w:szCs w:val="18"/>
              </w:rPr>
              <w:t xml:space="preserve">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и пользователем («Пользователь»), упомянутым ниже, вступает в силу с более поздней даты, указанной на странице для подписей данного Договора.</w:t>
            </w:r>
          </w:p>
          <w:p w:rsidR="00AE64FE" w:rsidRPr="00FF3766" w:rsidRDefault="00AE64FE" w:rsidP="00951C96">
            <w:pPr>
              <w:ind w:left="0"/>
              <w:rPr>
                <w:rFonts w:ascii="Arial" w:eastAsia="Cambria" w:hAnsi="Arial" w:cs="Arial"/>
                <w:sz w:val="18"/>
                <w:szCs w:val="18"/>
              </w:rPr>
            </w:pPr>
          </w:p>
          <w:p w:rsidR="00AE64FE" w:rsidRPr="00FF3766" w:rsidRDefault="00AE64FE" w:rsidP="00AE64FE">
            <w:pPr>
              <w:pStyle w:val="a5"/>
              <w:numPr>
                <w:ilvl w:val="0"/>
                <w:numId w:val="4"/>
              </w:numPr>
              <w:tabs>
                <w:tab w:val="left" w:pos="284"/>
              </w:tabs>
              <w:ind w:left="0" w:firstLine="0"/>
              <w:rPr>
                <w:rFonts w:ascii="Arial" w:eastAsia="Cambria" w:hAnsi="Arial" w:cs="Arial"/>
                <w:sz w:val="18"/>
                <w:szCs w:val="18"/>
              </w:rPr>
            </w:pPr>
            <w:r w:rsidRPr="00FF3766">
              <w:rPr>
                <w:rFonts w:ascii="Arial" w:eastAsia="Cambria" w:hAnsi="Arial" w:cs="Arial"/>
                <w:b/>
                <w:sz w:val="18"/>
                <w:szCs w:val="18"/>
              </w:rPr>
              <w:t>Термины.</w:t>
            </w:r>
            <w:r w:rsidRPr="00FF3766">
              <w:rPr>
                <w:rFonts w:ascii="Arial" w:eastAsia="Cambria" w:hAnsi="Arial" w:cs="Arial"/>
                <w:sz w:val="18"/>
                <w:szCs w:val="18"/>
              </w:rPr>
              <w:t xml:space="preserve"> Термины, употребляемые с заглавной буквы и используемые в данном Договоре, имеют значения, установленные в Разделе 1. </w:t>
            </w:r>
          </w:p>
          <w:p w:rsidR="00AE64FE" w:rsidRPr="00FF3766" w:rsidRDefault="00AE64FE" w:rsidP="00951C96">
            <w:pPr>
              <w:pStyle w:val="a5"/>
              <w:tabs>
                <w:tab w:val="left" w:pos="284"/>
              </w:tabs>
              <w:ind w:left="0"/>
              <w:rPr>
                <w:rFonts w:ascii="Arial" w:eastAsia="Cambria" w:hAnsi="Arial" w:cs="Arial"/>
                <w:sz w:val="18"/>
                <w:szCs w:val="18"/>
              </w:rPr>
            </w:pPr>
            <w:proofErr w:type="gramStart"/>
            <w:r w:rsidRPr="00FF3766">
              <w:rPr>
                <w:rFonts w:ascii="Arial" w:eastAsia="Cambria" w:hAnsi="Arial" w:cs="Arial"/>
                <w:sz w:val="18"/>
                <w:szCs w:val="18"/>
              </w:rPr>
              <w:t>Под «Претензии или Убытки» понимают любые и все обязательства, обязанности, потери, убытки, штрафы, претензии, иски, процессы разбирательств, затраты, судебные постановления, урегулирования и расходы любого характера, понесенные или выдвинутые возмещающей стороне или третьей стороне, включая без ограничений, (а) косвенный, особый, штрафной, последующий или побочный убыток или ущерб и, (б) административные расходы, следственные расходы, судебные издержки, вознаграждение аудитора, вознаграждение поверенных за юридические</w:t>
            </w:r>
            <w:proofErr w:type="gramEnd"/>
            <w:r w:rsidRPr="00FF3766">
              <w:rPr>
                <w:rFonts w:ascii="Arial" w:eastAsia="Cambria" w:hAnsi="Arial" w:cs="Arial"/>
                <w:sz w:val="18"/>
                <w:szCs w:val="18"/>
              </w:rPr>
              <w:t xml:space="preserve"> услуги и расходы (включая штатных служащих). </w:t>
            </w:r>
          </w:p>
          <w:p w:rsidR="00AE64FE" w:rsidRPr="00FF3766" w:rsidRDefault="00AE64FE" w:rsidP="00951C96">
            <w:pPr>
              <w:pStyle w:val="a5"/>
              <w:tabs>
                <w:tab w:val="left" w:pos="284"/>
              </w:tabs>
              <w:ind w:left="0"/>
              <w:rPr>
                <w:rFonts w:ascii="Arial" w:eastAsia="Cambria" w:hAnsi="Arial" w:cs="Arial"/>
                <w:sz w:val="18"/>
                <w:szCs w:val="18"/>
              </w:rPr>
            </w:pPr>
          </w:p>
          <w:p w:rsidR="00AE64FE" w:rsidRPr="00FF3766" w:rsidRDefault="00AE64FE" w:rsidP="00951C96">
            <w:pPr>
              <w:pStyle w:val="a5"/>
              <w:tabs>
                <w:tab w:val="left" w:pos="284"/>
              </w:tabs>
              <w:ind w:left="0"/>
              <w:rPr>
                <w:rFonts w:ascii="Arial" w:eastAsia="Cambria" w:hAnsi="Arial" w:cs="Arial"/>
                <w:sz w:val="18"/>
                <w:szCs w:val="18"/>
              </w:rPr>
            </w:pPr>
            <w:r w:rsidRPr="00FF3766">
              <w:rPr>
                <w:rFonts w:ascii="Arial" w:eastAsia="Cambria" w:hAnsi="Arial" w:cs="Arial"/>
                <w:sz w:val="18"/>
                <w:szCs w:val="18"/>
              </w:rPr>
              <w:t xml:space="preserve">«Биржевая информация» - определённые данные и другая информация, относящаяся к ценным бумагам или другим финансовым инструментам, продуктам, сделкам или оборудованию; или относящаяся к Лицам, подконтрольным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или к деятельности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или собранная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из других источников. </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proofErr w:type="gramStart"/>
            <w:r w:rsidRPr="00FF3766">
              <w:rPr>
                <w:rFonts w:ascii="Arial" w:eastAsia="Cambria" w:hAnsi="Arial" w:cs="Arial"/>
                <w:sz w:val="18"/>
                <w:szCs w:val="18"/>
              </w:rPr>
              <w:t>«Непрофессиональный пользователь» - любое физическое лицо, которое не: (а) зарегистрировано или квалифицировано в любом качестве в SEC (Комиссии по ценным бумагам и биржам), в Комиссии по торговле товарными фьючерсами, в каком – либо государственном органе по ценным бумагам, на какой-либо бирже ценных бумаг или ассоциации, или каком-либо товарном или фьючерсном рынке или ассоциации;</w:t>
            </w:r>
            <w:proofErr w:type="gramEnd"/>
            <w:r w:rsidRPr="00FF3766">
              <w:rPr>
                <w:rFonts w:ascii="Arial" w:eastAsia="Cambria" w:hAnsi="Arial" w:cs="Arial"/>
                <w:sz w:val="18"/>
                <w:szCs w:val="18"/>
              </w:rPr>
              <w:t xml:space="preserve"> (б) привлечено в качестве «Инвестиционного консультанта», в значении данного термина, определенного в Разделе 202(а)(11) Закона об инвестиционных консультантах 1940 года (вне зависимости от того, зарегистрировано и квалифицировано оно в соответствии с данным Законом или нет); или (с) нанято банком или другой организацией, не подлежащей регистрации в соответствии с федеральными законами или законами штата о ценных бумагах, для исполнения функций, которые </w:t>
            </w:r>
            <w:r w:rsidRPr="00FF3766">
              <w:rPr>
                <w:rFonts w:ascii="Arial" w:eastAsia="Cambria" w:hAnsi="Arial" w:cs="Arial"/>
                <w:sz w:val="18"/>
                <w:szCs w:val="18"/>
              </w:rPr>
              <w:lastRenderedPageBreak/>
              <w:t>могут потребовать регистрации или квалификации, если такие функции исполнялись для организации, не освобожденной от регистрации.</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«Лицо» означает физическое лицо, корпорацию, компанию с ограниченной ответственностью, траст, совместное предприятие, ассоциацию, партнерство с ограниченной или неограниченной ответственностью, организацию без образования юридического лица, или иное юридическое лицо. </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«Профессиональный пользователь» - все иные Лица, не соответствующие определению Непрофессионального Пользователя. </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w:t>
            </w:r>
            <w:r w:rsidRPr="00FF3766">
              <w:rPr>
                <w:rFonts w:ascii="Arial" w:eastAsia="Cambria" w:hAnsi="Arial" w:cs="Arial"/>
                <w:sz w:val="18"/>
                <w:szCs w:val="18"/>
                <w:lang w:val="en-US"/>
              </w:rPr>
              <w:t>SEC</w:t>
            </w:r>
            <w:r w:rsidRPr="00FF3766">
              <w:rPr>
                <w:rFonts w:ascii="Arial" w:eastAsia="Cambria" w:hAnsi="Arial" w:cs="Arial"/>
                <w:sz w:val="18"/>
                <w:szCs w:val="18"/>
              </w:rPr>
              <w:t xml:space="preserve">» - Комиссия по ценным бумагам и биржам США. </w:t>
            </w: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«Пользователь» - все совместно именуемые Профессиональные и Непрофессиональные пользователи. </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 «Получатель данных», определение данного термина дано в «Соглашении об обмене информацией» </w:t>
            </w:r>
            <w:r w:rsidR="00951C96" w:rsidRPr="00FF3766">
              <w:rPr>
                <w:rFonts w:ascii="Arial" w:eastAsia="Cambria" w:hAnsi="Arial" w:cs="Arial"/>
                <w:sz w:val="18"/>
                <w:szCs w:val="18"/>
              </w:rPr>
              <w:t>MDX</w:t>
            </w:r>
            <w:r w:rsidRPr="00FF3766">
              <w:rPr>
                <w:rFonts w:ascii="Arial" w:eastAsia="Cambria" w:hAnsi="Arial" w:cs="Arial"/>
                <w:sz w:val="18"/>
                <w:szCs w:val="18"/>
              </w:rPr>
              <w:t xml:space="preserve"> </w:t>
            </w:r>
            <w:proofErr w:type="spellStart"/>
            <w:r w:rsidRPr="00FF3766">
              <w:rPr>
                <w:rFonts w:ascii="Arial" w:eastAsia="Cambria" w:hAnsi="Arial" w:cs="Arial"/>
                <w:sz w:val="18"/>
                <w:szCs w:val="18"/>
              </w:rPr>
              <w:t>Global</w:t>
            </w:r>
            <w:proofErr w:type="spellEnd"/>
            <w:r w:rsidRPr="00FF3766">
              <w:rPr>
                <w:rFonts w:ascii="Arial" w:eastAsia="Cambria" w:hAnsi="Arial" w:cs="Arial"/>
                <w:sz w:val="18"/>
                <w:szCs w:val="18"/>
              </w:rPr>
              <w:t xml:space="preserve"> </w:t>
            </w:r>
            <w:proofErr w:type="spellStart"/>
            <w:r w:rsidRPr="00FF3766">
              <w:rPr>
                <w:rFonts w:ascii="Arial" w:eastAsia="Cambria" w:hAnsi="Arial" w:cs="Arial"/>
                <w:sz w:val="18"/>
                <w:szCs w:val="18"/>
              </w:rPr>
              <w:t>Markets</w:t>
            </w:r>
            <w:proofErr w:type="spellEnd"/>
            <w:r w:rsidRPr="00FF3766">
              <w:rPr>
                <w:rFonts w:ascii="Arial" w:eastAsia="Cambria" w:hAnsi="Arial" w:cs="Arial"/>
                <w:sz w:val="18"/>
                <w:szCs w:val="18"/>
              </w:rPr>
              <w:t xml:space="preserve">, </w:t>
            </w:r>
            <w:proofErr w:type="spellStart"/>
            <w:r w:rsidRPr="00FF3766">
              <w:rPr>
                <w:rFonts w:ascii="Arial" w:eastAsia="Cambria" w:hAnsi="Arial" w:cs="Arial"/>
                <w:sz w:val="18"/>
                <w:szCs w:val="18"/>
              </w:rPr>
              <w:t>Inc</w:t>
            </w:r>
            <w:proofErr w:type="spellEnd"/>
            <w:r w:rsidRPr="00FF3766">
              <w:rPr>
                <w:rFonts w:ascii="Arial" w:eastAsia="Cambria" w:hAnsi="Arial" w:cs="Arial"/>
                <w:sz w:val="18"/>
                <w:szCs w:val="18"/>
              </w:rPr>
              <w:t xml:space="preserve">., которое иногда может подвергаться изменению. </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«Услуги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 это услуги, предоставляемые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включая оборудование обработки данных, ПО и соответствующие средства связи для получения, обработки, передачи, использования и распространения Биржевой информации Пользователе</w:t>
            </w:r>
            <w:proofErr w:type="gramStart"/>
            <w:r w:rsidRPr="00FF3766">
              <w:rPr>
                <w:rFonts w:ascii="Arial" w:eastAsia="Cambria" w:hAnsi="Arial" w:cs="Arial"/>
                <w:sz w:val="18"/>
                <w:szCs w:val="18"/>
              </w:rPr>
              <w:t>м(</w:t>
            </w:r>
            <w:proofErr w:type="spellStart"/>
            <w:proofErr w:type="gramEnd"/>
            <w:r w:rsidRPr="00FF3766">
              <w:rPr>
                <w:rFonts w:ascii="Arial" w:eastAsia="Cambria" w:hAnsi="Arial" w:cs="Arial"/>
                <w:sz w:val="18"/>
                <w:szCs w:val="18"/>
              </w:rPr>
              <w:t>лю</w:t>
            </w:r>
            <w:proofErr w:type="spellEnd"/>
            <w:r w:rsidRPr="00FF3766">
              <w:rPr>
                <w:rFonts w:ascii="Arial" w:eastAsia="Cambria" w:hAnsi="Arial" w:cs="Arial"/>
                <w:sz w:val="18"/>
                <w:szCs w:val="18"/>
              </w:rPr>
              <w:t>).</w:t>
            </w:r>
          </w:p>
          <w:p w:rsidR="00AE64FE" w:rsidRPr="00FF3766" w:rsidRDefault="00AE64FE" w:rsidP="00951C96">
            <w:pPr>
              <w:tabs>
                <w:tab w:val="left" w:pos="284"/>
              </w:tabs>
              <w:ind w:left="0"/>
              <w:rPr>
                <w:rFonts w:ascii="Arial" w:eastAsia="Cambria" w:hAnsi="Arial" w:cs="Arial"/>
                <w:b/>
                <w:sz w:val="18"/>
                <w:szCs w:val="18"/>
              </w:rPr>
            </w:pPr>
          </w:p>
          <w:p w:rsidR="00AE64FE" w:rsidRPr="00FF3766" w:rsidRDefault="00AE64FE" w:rsidP="00AE64FE">
            <w:pPr>
              <w:pStyle w:val="a5"/>
              <w:numPr>
                <w:ilvl w:val="0"/>
                <w:numId w:val="4"/>
              </w:numPr>
              <w:tabs>
                <w:tab w:val="left" w:pos="284"/>
              </w:tabs>
              <w:ind w:left="0" w:hanging="37"/>
              <w:rPr>
                <w:rFonts w:ascii="Arial" w:eastAsia="Cambria" w:hAnsi="Arial" w:cs="Arial"/>
                <w:sz w:val="18"/>
                <w:szCs w:val="18"/>
              </w:rPr>
            </w:pPr>
            <w:r w:rsidRPr="00FF3766">
              <w:rPr>
                <w:rFonts w:ascii="Arial" w:eastAsia="Cambria" w:hAnsi="Arial" w:cs="Arial"/>
                <w:b/>
                <w:sz w:val="18"/>
                <w:szCs w:val="18"/>
              </w:rPr>
              <w:t xml:space="preserve">Использование Данных. </w:t>
            </w:r>
            <w:r w:rsidRPr="00FF3766">
              <w:rPr>
                <w:rFonts w:ascii="Arial" w:eastAsia="Cambria" w:hAnsi="Arial" w:cs="Arial"/>
                <w:sz w:val="18"/>
                <w:szCs w:val="18"/>
              </w:rPr>
              <w:t xml:space="preserve">Пользователь не имеет права продать, сдать в аренду, предоставить или иным способом позволить или обеспечить доступ к Биржевой информации другому Лицу, другой организации или в другом помещении. Пользователь не должен участвовать в действиях, связанных с незаконным использованием Биржевой информации в коммерческих целях и позволять использовать кому – либо Биржевую информацию или какую-либо ее часть в любых незаконных целях или с целью нарушения правил или соглашений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или SEC. Пользователь не может представлять Биржевую информацию в любом неблагоприятном, вводящем в заблуждение или дискриминационном виде. Пользователь обязан принять разумные меры безопасности с целью предупреждения получения доступа </w:t>
            </w:r>
            <w:proofErr w:type="gramStart"/>
            <w:r w:rsidRPr="00FF3766">
              <w:rPr>
                <w:rFonts w:ascii="Arial" w:eastAsia="Cambria" w:hAnsi="Arial" w:cs="Arial"/>
                <w:sz w:val="18"/>
                <w:szCs w:val="18"/>
              </w:rPr>
              <w:t>к</w:t>
            </w:r>
            <w:proofErr w:type="gramEnd"/>
            <w:r w:rsidRPr="00FF3766">
              <w:rPr>
                <w:rFonts w:ascii="Arial" w:eastAsia="Cambria" w:hAnsi="Arial" w:cs="Arial"/>
                <w:sz w:val="18"/>
                <w:szCs w:val="18"/>
              </w:rPr>
              <w:t xml:space="preserve"> Биржевой информации Лицами, не обладающими соответствующими разрешениями.</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Использование </w:t>
            </w:r>
            <w:proofErr w:type="gramStart"/>
            <w:r w:rsidRPr="00FF3766">
              <w:rPr>
                <w:rFonts w:ascii="Arial" w:eastAsia="Cambria" w:hAnsi="Arial" w:cs="Arial"/>
                <w:sz w:val="18"/>
                <w:szCs w:val="18"/>
              </w:rPr>
              <w:t>Биржевой</w:t>
            </w:r>
            <w:proofErr w:type="gramEnd"/>
            <w:r w:rsidRPr="00FF3766">
              <w:rPr>
                <w:rFonts w:ascii="Arial" w:eastAsia="Cambria" w:hAnsi="Arial" w:cs="Arial"/>
                <w:sz w:val="18"/>
                <w:szCs w:val="18"/>
              </w:rPr>
              <w:t xml:space="preserve"> информации Непрофессиональными пользователями. Биржевая информация доступна только для личного использования Непрофессиональным пользователем. Указывая себя во взаимоотношениях с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в качестве Непрофессионального пользователя, или продолжая получать Биржевую информацию по тарифу для Непрофессионального пользователя, Пользователь подтверждает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 </w:t>
            </w:r>
            <w:r w:rsidR="00951C96" w:rsidRPr="00FF3766">
              <w:rPr>
                <w:rFonts w:ascii="Arial" w:eastAsia="Cambria" w:hAnsi="Arial" w:cs="Arial"/>
                <w:sz w:val="18"/>
                <w:szCs w:val="18"/>
              </w:rPr>
              <w:t>MDX</w:t>
            </w:r>
            <w:r w:rsidRPr="00FF3766">
              <w:rPr>
                <w:rFonts w:ascii="Arial" w:eastAsia="Cambria" w:hAnsi="Arial" w:cs="Arial"/>
                <w:sz w:val="18"/>
                <w:szCs w:val="18"/>
              </w:rPr>
              <w:t xml:space="preserve">, что соответствует определению Непрофессионального пользователя в соответствии с данным Договором. Непрофессиональный пользователь безотлагательно исполняет мотивированный запрос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или ее уполномоченного представителя в отношении информации, относящейся к получению, обработке, изменению, использованию и распространению Биржевой информации Непрофессиональным </w:t>
            </w:r>
            <w:r w:rsidRPr="00FF3766">
              <w:rPr>
                <w:rFonts w:ascii="Arial" w:eastAsia="Cambria" w:hAnsi="Arial" w:cs="Arial"/>
                <w:sz w:val="18"/>
                <w:szCs w:val="18"/>
              </w:rPr>
              <w:lastRenderedPageBreak/>
              <w:t>пользователем.</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Использование </w:t>
            </w:r>
            <w:proofErr w:type="gramStart"/>
            <w:r w:rsidRPr="00FF3766">
              <w:rPr>
                <w:rFonts w:ascii="Arial" w:eastAsia="Cambria" w:hAnsi="Arial" w:cs="Arial"/>
                <w:sz w:val="18"/>
                <w:szCs w:val="18"/>
              </w:rPr>
              <w:t>Биржевой</w:t>
            </w:r>
            <w:proofErr w:type="gramEnd"/>
            <w:r w:rsidRPr="00FF3766">
              <w:rPr>
                <w:rFonts w:ascii="Arial" w:eastAsia="Cambria" w:hAnsi="Arial" w:cs="Arial"/>
                <w:sz w:val="18"/>
                <w:szCs w:val="18"/>
              </w:rPr>
              <w:t xml:space="preserve"> информации Профессиональными пользователями. Биржевая информация доступна для внутреннего коммерческого использования и/или для личного использования Профессиональным пользователем. Профессиональный пользователь имеет право предоставлять клиентам ограниченное количество Биржевой информации на непостоянной основе в письменных рекламных объявлениях, сообщениях или иных печатных материалах при проведении телефонных переговоров, за исключением использования компьютеризированного голоса (автоответчик), автоматических систем информационного запроса или подобных технологий. </w:t>
            </w:r>
            <w:proofErr w:type="gramStart"/>
            <w:r w:rsidRPr="00FF3766">
              <w:rPr>
                <w:rFonts w:ascii="Arial" w:eastAsia="Cambria" w:hAnsi="Arial" w:cs="Arial"/>
                <w:sz w:val="18"/>
                <w:szCs w:val="18"/>
              </w:rPr>
              <w:t xml:space="preserve">Профессиональный пользователь обязан предоставить доступ в свои помещения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или ее представителю для физической проверки Услуг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 использования Профессиональным пользователем Биржевой информации (включая проверку любых записей, касающихся использования доступа к Биржевой информации, количество и месторасположение всех аппаратов, принимающих Биржевую информацию), в приемлемое время и на основании обоснованного уведомления, в целях обеспечения соблюдения данного Договора.</w:t>
            </w:r>
            <w:proofErr w:type="gramEnd"/>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AE64FE">
            <w:pPr>
              <w:pStyle w:val="a5"/>
              <w:numPr>
                <w:ilvl w:val="0"/>
                <w:numId w:val="4"/>
              </w:numPr>
              <w:tabs>
                <w:tab w:val="left" w:pos="284"/>
              </w:tabs>
              <w:ind w:left="0" w:firstLine="0"/>
              <w:rPr>
                <w:rFonts w:ascii="Arial" w:eastAsia="Cambria" w:hAnsi="Arial" w:cs="Arial"/>
                <w:sz w:val="18"/>
                <w:szCs w:val="18"/>
              </w:rPr>
            </w:pPr>
            <w:r w:rsidRPr="00FF3766">
              <w:rPr>
                <w:rFonts w:ascii="Arial" w:eastAsia="Cambria" w:hAnsi="Arial" w:cs="Arial"/>
                <w:b/>
                <w:sz w:val="18"/>
                <w:szCs w:val="18"/>
              </w:rPr>
              <w:t xml:space="preserve">Собственные данные. </w:t>
            </w:r>
            <w:proofErr w:type="gramStart"/>
            <w:r w:rsidR="00951C96" w:rsidRPr="00FF3766">
              <w:rPr>
                <w:rFonts w:ascii="Arial" w:eastAsia="Cambria" w:hAnsi="Arial" w:cs="Arial"/>
                <w:sz w:val="18"/>
                <w:szCs w:val="18"/>
              </w:rPr>
              <w:t>MDX</w:t>
            </w:r>
            <w:r w:rsidRPr="00FF3766">
              <w:rPr>
                <w:rFonts w:ascii="Arial" w:eastAsia="Cambria" w:hAnsi="Arial" w:cs="Arial"/>
                <w:sz w:val="18"/>
                <w:szCs w:val="18"/>
              </w:rPr>
              <w:t xml:space="preserve"> предоставляет Пользователю неисключительную лицензию без права </w:t>
            </w:r>
            <w:proofErr w:type="spellStart"/>
            <w:r w:rsidRPr="00FF3766">
              <w:rPr>
                <w:rFonts w:ascii="Arial" w:eastAsia="Cambria" w:hAnsi="Arial" w:cs="Arial"/>
                <w:sz w:val="18"/>
                <w:szCs w:val="18"/>
              </w:rPr>
              <w:t>сублицензирования</w:t>
            </w:r>
            <w:proofErr w:type="spellEnd"/>
            <w:r w:rsidRPr="00FF3766">
              <w:rPr>
                <w:rFonts w:ascii="Arial" w:eastAsia="Cambria" w:hAnsi="Arial" w:cs="Arial"/>
                <w:sz w:val="18"/>
                <w:szCs w:val="18"/>
              </w:rPr>
              <w:t xml:space="preserve"> в течение срока действия Договора на получение Биржевой информации, переданной ему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 впоследствии, на использование данной Биржевой информации в соответствии с условиями данного Договора и всех применимых правовых норм, законов, нормативных актов, правил </w:t>
            </w:r>
            <w:r w:rsidR="00951C96" w:rsidRPr="00FF3766">
              <w:rPr>
                <w:rFonts w:ascii="Arial" w:eastAsia="Cambria" w:hAnsi="Arial" w:cs="Arial"/>
                <w:sz w:val="18"/>
                <w:szCs w:val="18"/>
              </w:rPr>
              <w:t>MDX</w:t>
            </w:r>
            <w:r w:rsidRPr="00FF3766">
              <w:rPr>
                <w:rFonts w:ascii="Arial" w:eastAsia="Cambria" w:hAnsi="Arial" w:cs="Arial"/>
                <w:sz w:val="18"/>
                <w:szCs w:val="18"/>
              </w:rPr>
              <w:t xml:space="preserve"> и SEC, включая</w:t>
            </w:r>
            <w:r w:rsidR="00130D9B" w:rsidRPr="00FF3766">
              <w:rPr>
                <w:rFonts w:ascii="Arial" w:eastAsia="Cambria" w:hAnsi="Arial" w:cs="Arial"/>
                <w:sz w:val="18"/>
                <w:szCs w:val="18"/>
              </w:rPr>
              <w:t>,</w:t>
            </w:r>
            <w:r w:rsidRPr="00FF3766">
              <w:rPr>
                <w:rFonts w:ascii="Arial" w:eastAsia="Cambria" w:hAnsi="Arial" w:cs="Arial"/>
                <w:sz w:val="18"/>
                <w:szCs w:val="18"/>
              </w:rPr>
              <w:t xml:space="preserve"> в том числе свод правил </w:t>
            </w:r>
            <w:r w:rsidR="00951C96" w:rsidRPr="00FF3766">
              <w:rPr>
                <w:rFonts w:ascii="Arial" w:eastAsia="Cambria" w:hAnsi="Arial" w:cs="Arial"/>
                <w:sz w:val="18"/>
                <w:szCs w:val="18"/>
              </w:rPr>
              <w:t>MDX</w:t>
            </w:r>
            <w:r w:rsidRPr="00FF3766">
              <w:rPr>
                <w:rFonts w:ascii="Arial" w:eastAsia="Cambria" w:hAnsi="Arial" w:cs="Arial"/>
                <w:sz w:val="18"/>
                <w:szCs w:val="18"/>
              </w:rPr>
              <w:t xml:space="preserve">, решения </w:t>
            </w:r>
            <w:r w:rsidR="00951C96" w:rsidRPr="00FF3766">
              <w:rPr>
                <w:rFonts w:ascii="Arial" w:eastAsia="Cambria" w:hAnsi="Arial" w:cs="Arial"/>
                <w:sz w:val="18"/>
                <w:szCs w:val="18"/>
              </w:rPr>
              <w:t>MDX</w:t>
            </w:r>
            <w:r w:rsidRPr="00FF3766">
              <w:rPr>
                <w:rFonts w:ascii="Arial" w:eastAsia="Cambria" w:hAnsi="Arial" w:cs="Arial"/>
                <w:sz w:val="18"/>
                <w:szCs w:val="18"/>
              </w:rPr>
              <w:t>, а также толкования, уточнения, альтернативы применимых</w:t>
            </w:r>
            <w:proofErr w:type="gramEnd"/>
            <w:r w:rsidRPr="00FF3766">
              <w:rPr>
                <w:rFonts w:ascii="Arial" w:eastAsia="Cambria" w:hAnsi="Arial" w:cs="Arial"/>
                <w:sz w:val="18"/>
                <w:szCs w:val="18"/>
              </w:rPr>
              <w:t xml:space="preserve"> правовых норм, законов, нормативных актов и правил. Пользователь признает и соглашается, что </w:t>
            </w:r>
            <w:r w:rsidR="00951C96" w:rsidRPr="00FF3766">
              <w:rPr>
                <w:rFonts w:ascii="Arial" w:eastAsia="Cambria" w:hAnsi="Arial" w:cs="Arial"/>
                <w:sz w:val="18"/>
                <w:szCs w:val="18"/>
              </w:rPr>
              <w:t>MDX</w:t>
            </w:r>
            <w:r w:rsidRPr="00FF3766">
              <w:rPr>
                <w:rFonts w:ascii="Arial" w:eastAsia="Cambria" w:hAnsi="Arial" w:cs="Arial"/>
                <w:sz w:val="18"/>
                <w:szCs w:val="18"/>
              </w:rPr>
              <w:t xml:space="preserve"> и ее аффилированные лица обладают правами собственности на Биржевую информацию, возникшую или полученную на рынке, регулируемом или управляемом </w:t>
            </w:r>
            <w:r w:rsidR="00951C96" w:rsidRPr="00FF3766">
              <w:rPr>
                <w:rFonts w:ascii="Arial" w:eastAsia="Cambria" w:hAnsi="Arial" w:cs="Arial"/>
                <w:sz w:val="18"/>
                <w:szCs w:val="18"/>
              </w:rPr>
              <w:t>MDX</w:t>
            </w:r>
            <w:r w:rsidRPr="00FF3766">
              <w:rPr>
                <w:rFonts w:ascii="Arial" w:eastAsia="Cambria" w:hAnsi="Arial" w:cs="Arial"/>
                <w:sz w:val="18"/>
                <w:szCs w:val="18"/>
              </w:rPr>
              <w:t xml:space="preserve">, а также на сбор или другие права на Биржевую информацию, собранные из других источников. Пользователь также признает и соглашается, что сторонние поставщики информации </w:t>
            </w:r>
            <w:r w:rsidR="00951C96" w:rsidRPr="00FF3766">
              <w:rPr>
                <w:rFonts w:ascii="Arial" w:eastAsia="Cambria" w:hAnsi="Arial" w:cs="Arial"/>
                <w:sz w:val="18"/>
                <w:szCs w:val="18"/>
              </w:rPr>
              <w:t>MDX</w:t>
            </w:r>
            <w:r w:rsidRPr="00FF3766">
              <w:rPr>
                <w:rFonts w:ascii="Arial" w:eastAsia="Cambria" w:hAnsi="Arial" w:cs="Arial"/>
                <w:sz w:val="18"/>
                <w:szCs w:val="18"/>
              </w:rPr>
              <w:t xml:space="preserve"> обладают исключительными правами собственности в отношении соответствующей информации. В случае незаконного присвоения или несанкционированного использования Пользователем или кем-либо, осуществляющим доступ </w:t>
            </w:r>
            <w:proofErr w:type="gramStart"/>
            <w:r w:rsidRPr="00FF3766">
              <w:rPr>
                <w:rFonts w:ascii="Arial" w:eastAsia="Cambria" w:hAnsi="Arial" w:cs="Arial"/>
                <w:sz w:val="18"/>
                <w:szCs w:val="18"/>
              </w:rPr>
              <w:t>к</w:t>
            </w:r>
            <w:proofErr w:type="gramEnd"/>
            <w:r w:rsidRPr="00FF3766">
              <w:rPr>
                <w:rFonts w:ascii="Arial" w:eastAsia="Cambria" w:hAnsi="Arial" w:cs="Arial"/>
                <w:sz w:val="18"/>
                <w:szCs w:val="18"/>
              </w:rPr>
              <w:t xml:space="preserve"> Биржевой информации через Пользователя,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или ее сторонние поставщики информации, обладают правом принятия обеспечительных мер в отношении соответствующих материалов. Пользователь признает источник Данных для обмена приемлемым при любых обстоятельствах. </w:t>
            </w:r>
          </w:p>
          <w:p w:rsidR="00AE64FE" w:rsidRPr="00FF3766" w:rsidRDefault="00AE64FE" w:rsidP="00951C96">
            <w:pPr>
              <w:pStyle w:val="a5"/>
              <w:tabs>
                <w:tab w:val="left" w:pos="284"/>
              </w:tabs>
              <w:rPr>
                <w:rFonts w:ascii="Arial" w:eastAsia="Cambria" w:hAnsi="Arial" w:cs="Arial"/>
                <w:sz w:val="18"/>
                <w:szCs w:val="18"/>
              </w:rPr>
            </w:pPr>
          </w:p>
          <w:p w:rsidR="00AE64FE" w:rsidRPr="00FF3766" w:rsidRDefault="00AE64FE" w:rsidP="00AE64FE">
            <w:pPr>
              <w:pStyle w:val="a5"/>
              <w:numPr>
                <w:ilvl w:val="0"/>
                <w:numId w:val="4"/>
              </w:numPr>
              <w:tabs>
                <w:tab w:val="left" w:pos="284"/>
              </w:tabs>
              <w:ind w:left="0" w:firstLine="0"/>
              <w:rPr>
                <w:rFonts w:ascii="Arial" w:eastAsia="Cambria" w:hAnsi="Arial" w:cs="Arial"/>
                <w:sz w:val="18"/>
                <w:szCs w:val="18"/>
              </w:rPr>
            </w:pPr>
            <w:r w:rsidRPr="00FF3766">
              <w:rPr>
                <w:rFonts w:ascii="Arial" w:eastAsia="Cambria" w:hAnsi="Arial" w:cs="Arial"/>
                <w:b/>
                <w:sz w:val="18"/>
                <w:szCs w:val="18"/>
              </w:rPr>
              <w:t>Оплата.</w:t>
            </w:r>
            <w:r w:rsidRPr="00FF3766">
              <w:rPr>
                <w:rFonts w:ascii="Arial" w:eastAsia="Cambria" w:hAnsi="Arial" w:cs="Arial"/>
                <w:sz w:val="18"/>
                <w:szCs w:val="18"/>
              </w:rPr>
              <w:t xml:space="preserve"> </w:t>
            </w:r>
            <w:proofErr w:type="gramStart"/>
            <w:r w:rsidRPr="00FF3766">
              <w:rPr>
                <w:rFonts w:ascii="Arial" w:eastAsia="Cambria" w:hAnsi="Arial" w:cs="Arial"/>
                <w:sz w:val="18"/>
                <w:szCs w:val="18"/>
              </w:rPr>
              <w:t xml:space="preserve">Пользователь принимает полную ответственность за уплату налогов, сборов, или взносов, наложенных на Пользователя или </w:t>
            </w:r>
            <w:r w:rsidR="00951C96" w:rsidRPr="00FF3766">
              <w:rPr>
                <w:rFonts w:ascii="Arial" w:eastAsia="Cambria" w:hAnsi="Arial" w:cs="Arial"/>
                <w:sz w:val="18"/>
                <w:szCs w:val="18"/>
              </w:rPr>
              <w:t>MDX</w:t>
            </w:r>
            <w:r w:rsidRPr="00FF3766">
              <w:rPr>
                <w:rFonts w:ascii="Arial" w:eastAsia="Cambria" w:hAnsi="Arial" w:cs="Arial"/>
                <w:sz w:val="18"/>
                <w:szCs w:val="18"/>
              </w:rPr>
              <w:t xml:space="preserve"> (за исключением федерального, муниципального подоходного налога или подоходного налога на уровне штата, наложенного на </w:t>
            </w:r>
            <w:r w:rsidR="00951C96" w:rsidRPr="00FF3766">
              <w:rPr>
                <w:rFonts w:ascii="Arial" w:eastAsia="Cambria" w:hAnsi="Arial" w:cs="Arial"/>
                <w:sz w:val="18"/>
                <w:szCs w:val="18"/>
              </w:rPr>
              <w:t>MDX</w:t>
            </w:r>
            <w:r w:rsidRPr="00FF3766">
              <w:rPr>
                <w:rFonts w:ascii="Arial" w:eastAsia="Cambria" w:hAnsi="Arial" w:cs="Arial"/>
                <w:sz w:val="18"/>
                <w:szCs w:val="18"/>
              </w:rPr>
              <w:t xml:space="preserve">) любыми иностранными, внутренними, провинциальными, муниципальными государственными органами или государственными органами штата, или их подразделений, любых комиссий и процентов, </w:t>
            </w:r>
            <w:r w:rsidRPr="00FF3766">
              <w:rPr>
                <w:rFonts w:ascii="Arial" w:eastAsia="Cambria" w:hAnsi="Arial" w:cs="Arial"/>
                <w:sz w:val="18"/>
                <w:szCs w:val="18"/>
              </w:rPr>
              <w:lastRenderedPageBreak/>
              <w:t>имеющих отношение к поставке Биржевой информации Пользователю.</w:t>
            </w:r>
            <w:proofErr w:type="gramEnd"/>
            <w:r w:rsidRPr="00FF3766">
              <w:rPr>
                <w:rFonts w:ascii="Arial" w:eastAsia="Cambria" w:hAnsi="Arial" w:cs="Arial"/>
                <w:sz w:val="18"/>
                <w:szCs w:val="18"/>
              </w:rPr>
              <w:t xml:space="preserve"> Процент подлежит уплате с момента выставления счета до момента выплаты причитающихся сумм. В той мере, насколько это допустимо в соответствии с применимыми правовыми нормами, Пользователь признает и соглашается, что прекращение предоставления Услуг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в случае отсутствия их оплаты, не будет считаться неправомерным ограничением доступа, установленным </w:t>
            </w:r>
            <w:r w:rsidR="00951C96" w:rsidRPr="00FF3766">
              <w:rPr>
                <w:rFonts w:ascii="Arial" w:eastAsia="Cambria" w:hAnsi="Arial" w:cs="Arial"/>
                <w:sz w:val="18"/>
                <w:szCs w:val="18"/>
              </w:rPr>
              <w:t>MDX</w:t>
            </w:r>
            <w:r w:rsidRPr="00FF3766">
              <w:rPr>
                <w:rFonts w:ascii="Arial" w:eastAsia="Cambria" w:hAnsi="Arial" w:cs="Arial"/>
                <w:sz w:val="18"/>
                <w:szCs w:val="18"/>
              </w:rPr>
              <w:t xml:space="preserve">. Если какой- либо платеж подлежит уплате непосредственно </w:t>
            </w:r>
            <w:r w:rsidR="00951C96" w:rsidRPr="00FF3766">
              <w:rPr>
                <w:rFonts w:ascii="Arial" w:eastAsia="Cambria" w:hAnsi="Arial" w:cs="Arial"/>
                <w:sz w:val="18"/>
                <w:szCs w:val="18"/>
              </w:rPr>
              <w:t>MDX</w:t>
            </w:r>
            <w:r w:rsidRPr="00FF3766">
              <w:rPr>
                <w:rFonts w:ascii="Arial" w:eastAsia="Cambria" w:hAnsi="Arial" w:cs="Arial"/>
                <w:sz w:val="18"/>
                <w:szCs w:val="18"/>
              </w:rPr>
              <w:t xml:space="preserve"> в соответствии с Договором в отношении Профессиональных пользователей, полная оплата причитается </w:t>
            </w:r>
            <w:r w:rsidR="00951C96" w:rsidRPr="00FF3766">
              <w:rPr>
                <w:rFonts w:ascii="Arial" w:eastAsia="Cambria" w:hAnsi="Arial" w:cs="Arial"/>
                <w:sz w:val="18"/>
                <w:szCs w:val="18"/>
              </w:rPr>
              <w:t>MDX</w:t>
            </w:r>
            <w:r w:rsidRPr="00FF3766">
              <w:rPr>
                <w:rFonts w:ascii="Arial" w:eastAsia="Cambria" w:hAnsi="Arial" w:cs="Arial"/>
                <w:sz w:val="18"/>
                <w:szCs w:val="18"/>
              </w:rPr>
              <w:t xml:space="preserve"> с немедленным зачислением средств на счет в течение 30 дней с момента выставления счета, вне зависимости от факта пользования или доступа </w:t>
            </w:r>
            <w:proofErr w:type="gramStart"/>
            <w:r w:rsidRPr="00FF3766">
              <w:rPr>
                <w:rFonts w:ascii="Arial" w:eastAsia="Cambria" w:hAnsi="Arial" w:cs="Arial"/>
                <w:sz w:val="18"/>
                <w:szCs w:val="18"/>
              </w:rPr>
              <w:t>к</w:t>
            </w:r>
            <w:proofErr w:type="gramEnd"/>
            <w:r w:rsidRPr="00FF3766">
              <w:rPr>
                <w:rFonts w:ascii="Arial" w:eastAsia="Cambria" w:hAnsi="Arial" w:cs="Arial"/>
                <w:sz w:val="18"/>
                <w:szCs w:val="18"/>
              </w:rPr>
              <w:t xml:space="preserve"> Биржевой информации. Пользователь соглашается оплатить </w:t>
            </w:r>
            <w:r w:rsidR="00951C96" w:rsidRPr="00FF3766">
              <w:rPr>
                <w:rFonts w:ascii="Arial" w:eastAsia="Cambria" w:hAnsi="Arial" w:cs="Arial"/>
                <w:sz w:val="18"/>
                <w:szCs w:val="18"/>
              </w:rPr>
              <w:t>MDX</w:t>
            </w:r>
            <w:r w:rsidRPr="00FF3766">
              <w:rPr>
                <w:rFonts w:ascii="Arial" w:eastAsia="Cambria" w:hAnsi="Arial" w:cs="Arial"/>
                <w:sz w:val="18"/>
                <w:szCs w:val="18"/>
              </w:rPr>
              <w:t xml:space="preserve"> штраф за нарушение сроков в размере 1% в месяц по всем просроченным задолженностям, не являющимся предметом оправданного и справедливого спора.</w:t>
            </w:r>
          </w:p>
          <w:p w:rsidR="00AE64FE" w:rsidRPr="00FF3766" w:rsidRDefault="00AE64FE" w:rsidP="00951C96">
            <w:pPr>
              <w:pStyle w:val="a5"/>
              <w:tabs>
                <w:tab w:val="left" w:pos="284"/>
              </w:tabs>
              <w:rPr>
                <w:rFonts w:ascii="Arial" w:eastAsia="Cambria" w:hAnsi="Arial" w:cs="Arial"/>
                <w:sz w:val="18"/>
                <w:szCs w:val="18"/>
              </w:rPr>
            </w:pPr>
          </w:p>
          <w:p w:rsidR="00AE64FE" w:rsidRPr="00FF3766" w:rsidRDefault="00AE64FE" w:rsidP="00AE64FE">
            <w:pPr>
              <w:pStyle w:val="a5"/>
              <w:numPr>
                <w:ilvl w:val="0"/>
                <w:numId w:val="4"/>
              </w:numPr>
              <w:tabs>
                <w:tab w:val="left" w:pos="284"/>
              </w:tabs>
              <w:ind w:left="-37" w:firstLine="0"/>
              <w:rPr>
                <w:rFonts w:ascii="Arial" w:eastAsia="Cambria" w:hAnsi="Arial" w:cs="Arial"/>
                <w:sz w:val="18"/>
                <w:szCs w:val="18"/>
              </w:rPr>
            </w:pPr>
            <w:r w:rsidRPr="00FF3766">
              <w:rPr>
                <w:rFonts w:ascii="Arial" w:eastAsia="Cambria" w:hAnsi="Arial" w:cs="Arial"/>
                <w:b/>
                <w:sz w:val="18"/>
                <w:szCs w:val="18"/>
              </w:rPr>
              <w:t xml:space="preserve">Система. </w:t>
            </w:r>
            <w:r w:rsidRPr="00FF3766">
              <w:rPr>
                <w:rFonts w:ascii="Arial" w:eastAsia="Cambria" w:hAnsi="Arial" w:cs="Arial"/>
                <w:sz w:val="18"/>
                <w:szCs w:val="18"/>
              </w:rPr>
              <w:t xml:space="preserve">Пользователь признает, что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имеет право иногда вносить изменения в свою систему или Биржевую информацию по своему личному усмотрению. Такие изменения могут потребовать соответствующих изменений в Услугах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Изменения или неосуществление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таких изменений вовремя могут прекратить, приостановить или как-либо иначе повлиять на доступ Пользователя или на использование Биржевой информации. </w:t>
            </w:r>
            <w:r w:rsidR="00951C96" w:rsidRPr="00FF3766">
              <w:rPr>
                <w:rFonts w:ascii="Arial" w:eastAsia="Cambria" w:hAnsi="Arial" w:cs="Arial"/>
                <w:sz w:val="18"/>
                <w:szCs w:val="18"/>
              </w:rPr>
              <w:t>MDX</w:t>
            </w:r>
            <w:r w:rsidRPr="00FF3766">
              <w:rPr>
                <w:rFonts w:ascii="Arial" w:eastAsia="Cambria" w:hAnsi="Arial" w:cs="Arial"/>
                <w:sz w:val="18"/>
                <w:szCs w:val="18"/>
              </w:rPr>
              <w:t xml:space="preserve"> не несет ответственности за любые подобные последствия. </w:t>
            </w:r>
            <w:r w:rsidR="00951C96" w:rsidRPr="00FF3766">
              <w:rPr>
                <w:rFonts w:ascii="Arial" w:eastAsia="Cambria" w:hAnsi="Arial" w:cs="Arial"/>
                <w:sz w:val="18"/>
                <w:szCs w:val="18"/>
              </w:rPr>
              <w:t>MDX</w:t>
            </w:r>
            <w:r w:rsidRPr="00FF3766">
              <w:rPr>
                <w:rFonts w:ascii="Arial" w:eastAsia="Cambria" w:hAnsi="Arial" w:cs="Arial"/>
                <w:sz w:val="18"/>
                <w:szCs w:val="18"/>
              </w:rPr>
              <w:t xml:space="preserve"> не поддерживает или подтверждает Услуги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или используемое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или Пользователем оборудование.</w:t>
            </w:r>
          </w:p>
          <w:p w:rsidR="00AE64FE" w:rsidRPr="00FF3766" w:rsidRDefault="00AE64FE" w:rsidP="00951C96">
            <w:pPr>
              <w:pStyle w:val="a5"/>
              <w:tabs>
                <w:tab w:val="left" w:pos="284"/>
              </w:tabs>
              <w:ind w:left="-37"/>
              <w:rPr>
                <w:rFonts w:ascii="Arial" w:eastAsia="Cambria" w:hAnsi="Arial" w:cs="Arial"/>
                <w:sz w:val="18"/>
                <w:szCs w:val="18"/>
              </w:rPr>
            </w:pPr>
          </w:p>
          <w:p w:rsidR="00AE64FE" w:rsidRPr="00FF3766" w:rsidRDefault="00AE64FE" w:rsidP="00951C96">
            <w:pPr>
              <w:pStyle w:val="a5"/>
              <w:tabs>
                <w:tab w:val="left" w:pos="284"/>
              </w:tabs>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b/>
                <w:sz w:val="18"/>
                <w:szCs w:val="18"/>
              </w:rPr>
              <w:t>6. Ограничение ответственности.</w:t>
            </w:r>
            <w:r w:rsidRPr="00FF3766">
              <w:rPr>
                <w:rFonts w:ascii="Arial" w:eastAsia="Cambria" w:hAnsi="Arial" w:cs="Arial"/>
                <w:sz w:val="18"/>
                <w:szCs w:val="18"/>
              </w:rPr>
              <w:t xml:space="preserve"> </w:t>
            </w:r>
            <w:proofErr w:type="gramStart"/>
            <w:r w:rsidR="00951C96" w:rsidRPr="00FF3766">
              <w:rPr>
                <w:rFonts w:ascii="Arial" w:eastAsia="Cambria" w:hAnsi="Arial" w:cs="Arial"/>
                <w:sz w:val="18"/>
                <w:szCs w:val="18"/>
              </w:rPr>
              <w:t>MDX</w:t>
            </w:r>
            <w:r w:rsidRPr="00FF3766">
              <w:rPr>
                <w:rFonts w:ascii="Arial" w:eastAsia="Cambria" w:hAnsi="Arial" w:cs="Arial"/>
                <w:sz w:val="18"/>
                <w:szCs w:val="18"/>
              </w:rPr>
              <w:t xml:space="preserve">, ее учредители, директора, держатели акций, сотрудники, агенты и консультанты не несут ответственности перед Пользователем или любым иным Лицом за любую неточную или неполную Биржевую информацию, полученную от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или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любые промедления, задержки, ошибки или бездействие, происходящее вследствие этого, или любой прямой, косвенный или последующий ущерб, обусловленный или причиненный указанными неточностями, промедлениями, задержками, ошибками или бездействием.</w:t>
            </w:r>
            <w:proofErr w:type="gramEnd"/>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Данный раздел не освобождает </w:t>
            </w:r>
            <w:r w:rsidR="00951C96" w:rsidRPr="00FF3766">
              <w:rPr>
                <w:rFonts w:ascii="Arial" w:eastAsia="Cambria" w:hAnsi="Arial" w:cs="Arial"/>
                <w:sz w:val="18"/>
                <w:szCs w:val="18"/>
              </w:rPr>
              <w:t>MDX</w:t>
            </w:r>
            <w:r w:rsidRPr="00FF3766">
              <w:rPr>
                <w:rFonts w:ascii="Arial" w:eastAsia="Cambria" w:hAnsi="Arial" w:cs="Arial"/>
                <w:sz w:val="18"/>
                <w:szCs w:val="18"/>
              </w:rPr>
              <w:t xml:space="preserve">,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Пользователя или иное Лицо от ответственности за ущерб, являющийся следствием их собственной грубой небрежности или преднамеренного неправомерного действия, причинения вреда здоровью или исков из-за неправомерного причинения смерти.</w:t>
            </w: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 </w:t>
            </w:r>
            <w:r w:rsidR="00951C96" w:rsidRPr="00FF3766">
              <w:rPr>
                <w:rFonts w:ascii="Arial" w:eastAsia="Cambria" w:hAnsi="Arial" w:cs="Arial"/>
                <w:sz w:val="18"/>
                <w:szCs w:val="18"/>
              </w:rPr>
              <w:t>MDX</w:t>
            </w:r>
            <w:r w:rsidRPr="00FF3766">
              <w:rPr>
                <w:rFonts w:ascii="Arial" w:eastAsia="Cambria" w:hAnsi="Arial" w:cs="Arial"/>
                <w:sz w:val="18"/>
                <w:szCs w:val="18"/>
              </w:rPr>
              <w:t xml:space="preserve">,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 Пользователь понимают и соглашаются, что условия данного Раздела отражают обоснованное распределение риска и отграничение ответственности.</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b/>
                <w:sz w:val="18"/>
                <w:szCs w:val="18"/>
              </w:rPr>
            </w:pPr>
            <w:r w:rsidRPr="00FF3766">
              <w:rPr>
                <w:rFonts w:ascii="Arial" w:eastAsia="Cambria" w:hAnsi="Arial" w:cs="Arial"/>
                <w:b/>
                <w:sz w:val="18"/>
                <w:szCs w:val="18"/>
              </w:rPr>
              <w:t>7. Отказ от предоставления Гарантий.</w:t>
            </w:r>
            <w:r w:rsidRPr="00FF3766">
              <w:rPr>
                <w:rFonts w:ascii="Arial" w:eastAsia="Cambria" w:hAnsi="Arial" w:cs="Arial"/>
                <w:sz w:val="18"/>
                <w:szCs w:val="18"/>
              </w:rPr>
              <w:t xml:space="preserve"> ПОЛЬЗОВАТЕЛЬ ПРИЗНАЕТ В ЯВНОЙ ФОРМЕ, ЧТО </w:t>
            </w:r>
            <w:r w:rsidR="00951C96" w:rsidRPr="00FF3766">
              <w:rPr>
                <w:rFonts w:ascii="Arial" w:eastAsia="Cambria" w:hAnsi="Arial" w:cs="Arial"/>
                <w:sz w:val="18"/>
                <w:szCs w:val="18"/>
              </w:rPr>
              <w:t>MDX</w:t>
            </w:r>
            <w:r w:rsidRPr="00FF3766">
              <w:rPr>
                <w:rFonts w:ascii="Arial" w:eastAsia="Cambria" w:hAnsi="Arial" w:cs="Arial"/>
                <w:sz w:val="18"/>
                <w:szCs w:val="18"/>
              </w:rPr>
              <w:t xml:space="preserve"> И ЕЕ СТОРОННИЕ ПОСТАВЩИКИ ИНФОРМАЦИИ НЕ </w:t>
            </w:r>
            <w:proofErr w:type="gramStart"/>
            <w:r w:rsidRPr="00FF3766">
              <w:rPr>
                <w:rFonts w:ascii="Arial" w:eastAsia="Cambria" w:hAnsi="Arial" w:cs="Arial"/>
                <w:sz w:val="18"/>
                <w:szCs w:val="18"/>
              </w:rPr>
              <w:t>ДЕЛАЮТ ЗАЯВЛЕНИЙ И НЕ ДАЮТ</w:t>
            </w:r>
            <w:proofErr w:type="gramEnd"/>
            <w:r w:rsidRPr="00FF3766">
              <w:rPr>
                <w:rFonts w:ascii="Arial" w:eastAsia="Cambria" w:hAnsi="Arial" w:cs="Arial"/>
                <w:sz w:val="18"/>
                <w:szCs w:val="18"/>
              </w:rPr>
              <w:t xml:space="preserve"> ГАРАНТИЙ, ЯВНО ВЫРАЖЕННЫХ ИЛИ ПОДРАЗУМЕВАЕМЫХ, ВКЛЮЧАЯ, БЕЗ ОГРАНИЧЕНИЙ, ЛЮБЫЕ ПОДРАЗУМЕВАЕМЫЕ ГАРАНТИИ ИЛИ ЛЮБЫЕ ГАРАНТИИ ТОВАРНОГО СОСТОЯНИЯ, КАЧЕСТВА ИЛИ ГОДНОСТИ ДЛЯ </w:t>
            </w:r>
            <w:r w:rsidRPr="00FF3766">
              <w:rPr>
                <w:rFonts w:ascii="Arial" w:eastAsia="Cambria" w:hAnsi="Arial" w:cs="Arial"/>
                <w:sz w:val="18"/>
                <w:szCs w:val="18"/>
              </w:rPr>
              <w:lastRenderedPageBreak/>
              <w:t>ОПРЕДЕЛЕННОЙ ЦЕЛИ.</w:t>
            </w:r>
            <w:r w:rsidRPr="00FF3766">
              <w:rPr>
                <w:rFonts w:ascii="Arial" w:eastAsia="Cambria" w:hAnsi="Arial" w:cs="Arial"/>
                <w:b/>
                <w:sz w:val="18"/>
                <w:szCs w:val="18"/>
              </w:rPr>
              <w:t xml:space="preserve"> </w:t>
            </w:r>
          </w:p>
          <w:p w:rsidR="00AE64FE" w:rsidRPr="00FF3766" w:rsidRDefault="00AE64FE" w:rsidP="00951C96">
            <w:pPr>
              <w:ind w:left="0"/>
              <w:rPr>
                <w:rFonts w:ascii="Arial" w:hAnsi="Arial" w:cs="Arial"/>
                <w:b/>
                <w:sz w:val="18"/>
                <w:szCs w:val="18"/>
              </w:rPr>
            </w:pPr>
          </w:p>
          <w:p w:rsidR="00AE64FE" w:rsidRPr="00FF3766" w:rsidRDefault="00F21A77" w:rsidP="00F21A77">
            <w:pPr>
              <w:tabs>
                <w:tab w:val="left" w:pos="284"/>
              </w:tabs>
              <w:ind w:left="284"/>
              <w:rPr>
                <w:rFonts w:ascii="Arial" w:eastAsia="Cambria" w:hAnsi="Arial" w:cs="Arial"/>
                <w:sz w:val="18"/>
                <w:szCs w:val="18"/>
              </w:rPr>
            </w:pPr>
            <w:r w:rsidRPr="00FF3766">
              <w:rPr>
                <w:rFonts w:ascii="Arial" w:eastAsia="Cambria" w:hAnsi="Arial" w:cs="Arial"/>
                <w:b/>
                <w:sz w:val="18"/>
                <w:szCs w:val="18"/>
              </w:rPr>
              <w:t xml:space="preserve">8. </w:t>
            </w:r>
            <w:r w:rsidR="00AE64FE" w:rsidRPr="00FF3766">
              <w:rPr>
                <w:rFonts w:ascii="Arial" w:eastAsia="Cambria" w:hAnsi="Arial" w:cs="Arial"/>
                <w:b/>
                <w:sz w:val="18"/>
                <w:szCs w:val="18"/>
              </w:rPr>
              <w:t>Ограничение ответственности Сторонних Поставщиков информации.</w:t>
            </w:r>
            <w:r w:rsidR="00AE64FE" w:rsidRPr="00FF3766">
              <w:rPr>
                <w:rFonts w:ascii="Arial" w:eastAsia="Cambria" w:hAnsi="Arial" w:cs="Arial"/>
                <w:sz w:val="18"/>
                <w:szCs w:val="18"/>
              </w:rPr>
              <w:t xml:space="preserve"> </w:t>
            </w:r>
            <w:proofErr w:type="gramStart"/>
            <w:r w:rsidR="00AE64FE" w:rsidRPr="00FF3766">
              <w:rPr>
                <w:rFonts w:ascii="Arial" w:eastAsia="Cambria" w:hAnsi="Arial" w:cs="Arial"/>
                <w:sz w:val="18"/>
                <w:szCs w:val="18"/>
              </w:rPr>
              <w:t xml:space="preserve">Сторонние Поставщики информации </w:t>
            </w:r>
            <w:r w:rsidR="00951C96" w:rsidRPr="00FF3766">
              <w:rPr>
                <w:rFonts w:ascii="Arial" w:eastAsia="Cambria" w:hAnsi="Arial" w:cs="Arial"/>
                <w:sz w:val="18"/>
                <w:szCs w:val="18"/>
              </w:rPr>
              <w:t>MDX</w:t>
            </w:r>
            <w:r w:rsidR="00AE64FE" w:rsidRPr="00FF3766">
              <w:rPr>
                <w:rFonts w:ascii="Arial" w:eastAsia="Cambria" w:hAnsi="Arial" w:cs="Arial"/>
                <w:sz w:val="18"/>
                <w:szCs w:val="18"/>
              </w:rPr>
              <w:t xml:space="preserve"> не несут ответственности за любой ущерб, прямой ил косвенный, будь то упущенная выгода, косвенный, особый или последующий ущерб Пользователя или любого иного Лица, ищущего судебной защиты через Пользователя, имеющего отношение к неточностям, промедлениям или бездействиям, связанным с Биржевой информацией, предоставляемых сторонними поставщиками информации </w:t>
            </w:r>
            <w:r w:rsidR="00951C96" w:rsidRPr="00FF3766">
              <w:rPr>
                <w:rFonts w:ascii="Arial" w:eastAsia="Cambria" w:hAnsi="Arial" w:cs="Arial"/>
                <w:sz w:val="18"/>
                <w:szCs w:val="18"/>
              </w:rPr>
              <w:t>MDX</w:t>
            </w:r>
            <w:r w:rsidR="00AE64FE" w:rsidRPr="00FF3766">
              <w:rPr>
                <w:rFonts w:ascii="Arial" w:eastAsia="Cambria" w:hAnsi="Arial" w:cs="Arial"/>
                <w:sz w:val="18"/>
                <w:szCs w:val="18"/>
              </w:rPr>
              <w:t>, даже если сторонний поставщик информации, уведомлен о возможности подобного ущерба.</w:t>
            </w:r>
            <w:proofErr w:type="gramEnd"/>
            <w:r w:rsidR="00AE64FE" w:rsidRPr="00FF3766">
              <w:rPr>
                <w:rFonts w:ascii="Arial" w:eastAsia="Cambria" w:hAnsi="Arial" w:cs="Arial"/>
                <w:sz w:val="18"/>
                <w:szCs w:val="18"/>
              </w:rPr>
              <w:t xml:space="preserve"> </w:t>
            </w:r>
            <w:proofErr w:type="gramStart"/>
            <w:r w:rsidR="00AE64FE" w:rsidRPr="00FF3766">
              <w:rPr>
                <w:rFonts w:ascii="Arial" w:eastAsia="Cambria" w:hAnsi="Arial" w:cs="Arial"/>
                <w:sz w:val="18"/>
                <w:szCs w:val="18"/>
              </w:rPr>
              <w:t>Ни при каких обстоятельствах ответственность сторонних поставщиков информации или их аффилированных лиц перед Пользователем или любым иным лицом, ищущим судебной защиты через Пользователя в соответствии с причиной иска, возникает ли она из договора, убытков или иным способом, не должна превышать плату, внесенную Пользователем или любым иным Лицом, ищущим судебной защиты через Пользователя сообразно обстоятельствам.</w:t>
            </w:r>
            <w:proofErr w:type="gramEnd"/>
          </w:p>
          <w:p w:rsidR="00AE64FE" w:rsidRPr="00FF3766" w:rsidRDefault="00AE64FE" w:rsidP="00951C96">
            <w:pPr>
              <w:pStyle w:val="a5"/>
              <w:tabs>
                <w:tab w:val="left" w:pos="284"/>
              </w:tabs>
              <w:ind w:left="644"/>
              <w:rPr>
                <w:rFonts w:ascii="Arial" w:eastAsia="Cambria" w:hAnsi="Arial" w:cs="Arial"/>
                <w:sz w:val="18"/>
                <w:szCs w:val="18"/>
              </w:rPr>
            </w:pPr>
          </w:p>
          <w:p w:rsidR="00AE64FE" w:rsidRPr="00FF3766" w:rsidRDefault="00F21A77" w:rsidP="00F21A77">
            <w:pPr>
              <w:tabs>
                <w:tab w:val="left" w:pos="284"/>
              </w:tabs>
              <w:ind w:left="284"/>
              <w:rPr>
                <w:rFonts w:ascii="Arial" w:eastAsia="Cambria" w:hAnsi="Arial" w:cs="Arial"/>
                <w:sz w:val="18"/>
                <w:szCs w:val="18"/>
              </w:rPr>
            </w:pPr>
            <w:r w:rsidRPr="00FF3766">
              <w:rPr>
                <w:rFonts w:ascii="Arial" w:eastAsia="Cambria" w:hAnsi="Arial" w:cs="Arial"/>
                <w:b/>
                <w:sz w:val="18"/>
                <w:szCs w:val="18"/>
              </w:rPr>
              <w:t xml:space="preserve">9. </w:t>
            </w:r>
            <w:r w:rsidR="00AE64FE" w:rsidRPr="00FF3766">
              <w:rPr>
                <w:rFonts w:ascii="Arial" w:eastAsia="Cambria" w:hAnsi="Arial" w:cs="Arial"/>
                <w:b/>
                <w:sz w:val="18"/>
                <w:szCs w:val="18"/>
              </w:rPr>
              <w:t>«Претензии и Убытки».</w:t>
            </w:r>
            <w:r w:rsidR="00AE64FE" w:rsidRPr="00FF3766">
              <w:rPr>
                <w:rFonts w:ascii="Arial" w:eastAsia="Cambria" w:hAnsi="Arial" w:cs="Arial"/>
                <w:sz w:val="18"/>
                <w:szCs w:val="18"/>
              </w:rPr>
              <w:t xml:space="preserve"> Пользователь соглашается возместить и освободить от ответственности </w:t>
            </w:r>
            <w:r w:rsidR="00951C96" w:rsidRPr="00FF3766">
              <w:rPr>
                <w:rFonts w:ascii="Arial" w:eastAsia="Cambria" w:hAnsi="Arial" w:cs="Arial"/>
                <w:sz w:val="18"/>
                <w:szCs w:val="18"/>
              </w:rPr>
              <w:t>MDX</w:t>
            </w:r>
            <w:r w:rsidR="00AE64FE" w:rsidRPr="00FF3766">
              <w:rPr>
                <w:rFonts w:ascii="Arial" w:eastAsia="Cambria" w:hAnsi="Arial" w:cs="Arial"/>
                <w:sz w:val="18"/>
                <w:szCs w:val="18"/>
              </w:rPr>
              <w:t xml:space="preserve">, ее дочерние компании, аффилированных лиц, учредителей, директоров, сотрудников, агентов и любое Лицо за любые возможные Убытки и Претензии, переданные, понесенные или предъявленные в результате или в связи с: (а) любым несоблюдением Пользователем сроков и условий настоящего Договора; </w:t>
            </w:r>
            <w:proofErr w:type="gramStart"/>
            <w:r w:rsidR="00AE64FE" w:rsidRPr="00FF3766">
              <w:rPr>
                <w:rFonts w:ascii="Arial" w:eastAsia="Cambria" w:hAnsi="Arial" w:cs="Arial"/>
                <w:sz w:val="18"/>
                <w:szCs w:val="18"/>
              </w:rPr>
              <w:t>(б) любыми исками третьей стороны, связанными с получением и использованием Биржевой информации Пользователем, независимо от того, соответствует ли это условиям настоящего Договора.</w:t>
            </w:r>
            <w:proofErr w:type="gramEnd"/>
            <w:r w:rsidR="00AE64FE" w:rsidRPr="00FF3766">
              <w:rPr>
                <w:rFonts w:ascii="Arial" w:eastAsia="Cambria" w:hAnsi="Arial" w:cs="Arial"/>
                <w:sz w:val="18"/>
                <w:szCs w:val="18"/>
              </w:rPr>
              <w:t xml:space="preserve"> </w:t>
            </w:r>
            <w:proofErr w:type="gramStart"/>
            <w:r w:rsidR="00AE64FE" w:rsidRPr="00FF3766">
              <w:rPr>
                <w:rFonts w:ascii="Arial" w:eastAsia="Cambria" w:hAnsi="Arial" w:cs="Arial"/>
                <w:sz w:val="18"/>
                <w:szCs w:val="18"/>
              </w:rPr>
              <w:t xml:space="preserve">Каждая сторона соглашается возместить и освободить от ответственности (во всяком случае, </w:t>
            </w:r>
            <w:r w:rsidR="00951C96" w:rsidRPr="00FF3766">
              <w:rPr>
                <w:rFonts w:ascii="Arial" w:eastAsia="Cambria" w:hAnsi="Arial" w:cs="Arial"/>
                <w:sz w:val="18"/>
                <w:szCs w:val="18"/>
              </w:rPr>
              <w:t>MDX</w:t>
            </w:r>
            <w:r w:rsidR="00AE64FE" w:rsidRPr="00FF3766">
              <w:rPr>
                <w:rFonts w:ascii="Arial" w:eastAsia="Cambria" w:hAnsi="Arial" w:cs="Arial"/>
                <w:sz w:val="18"/>
                <w:szCs w:val="18"/>
              </w:rPr>
              <w:t xml:space="preserve"> может самостоятельно защищать свои интересы и урегулировать споры) другую сторону (включая </w:t>
            </w:r>
            <w:r w:rsidR="00951C96" w:rsidRPr="00FF3766">
              <w:rPr>
                <w:rFonts w:ascii="Arial" w:eastAsia="Cambria" w:hAnsi="Arial" w:cs="Arial"/>
                <w:sz w:val="18"/>
                <w:szCs w:val="18"/>
              </w:rPr>
              <w:t>MDX</w:t>
            </w:r>
            <w:r w:rsidR="00AE64FE" w:rsidRPr="00FF3766">
              <w:rPr>
                <w:rFonts w:ascii="Arial" w:eastAsia="Cambria" w:hAnsi="Arial" w:cs="Arial"/>
                <w:sz w:val="18"/>
                <w:szCs w:val="18"/>
              </w:rPr>
              <w:t>), дочерние компании, аффилированных лиц, учредителей, директоров, сотрудников, агентов и любые имеющие к ней отношение Лица от любых Претензий и Убытков, возникающих, влекущих за собой или связанных с претензией о нарушении прав или ином нарушении права интеллектуальной</w:t>
            </w:r>
            <w:proofErr w:type="gramEnd"/>
            <w:r w:rsidR="00AE64FE" w:rsidRPr="00FF3766">
              <w:rPr>
                <w:rFonts w:ascii="Arial" w:eastAsia="Cambria" w:hAnsi="Arial" w:cs="Arial"/>
                <w:sz w:val="18"/>
                <w:szCs w:val="18"/>
              </w:rPr>
              <w:t xml:space="preserve"> собственности возмещающей стороной, при условии, что: (а) получатель возмещения безотлагательно уведомляет возмещающую сторону в письменной форме о Претензиях и Убытках; и (б) получатель возмещения обоснованно сотрудничает в процессе защиты своих интересов при предъявлении ему Претензий и Убытков.</w:t>
            </w:r>
          </w:p>
          <w:p w:rsidR="00AE64FE" w:rsidRPr="00FF3766" w:rsidRDefault="00AE64FE" w:rsidP="00951C96">
            <w:pPr>
              <w:pStyle w:val="a5"/>
              <w:tabs>
                <w:tab w:val="left" w:pos="284"/>
              </w:tabs>
              <w:ind w:left="644"/>
              <w:rPr>
                <w:rFonts w:ascii="Arial" w:eastAsia="Cambria" w:hAnsi="Arial" w:cs="Arial"/>
                <w:sz w:val="18"/>
                <w:szCs w:val="18"/>
              </w:rPr>
            </w:pPr>
          </w:p>
          <w:p w:rsidR="00AE64FE" w:rsidRPr="00FF3766" w:rsidRDefault="00F21A77" w:rsidP="00F21A77">
            <w:pPr>
              <w:tabs>
                <w:tab w:val="left" w:pos="284"/>
              </w:tabs>
              <w:ind w:left="284"/>
              <w:rPr>
                <w:rFonts w:ascii="Arial" w:eastAsia="Cambria" w:hAnsi="Arial" w:cs="Arial"/>
                <w:sz w:val="18"/>
                <w:szCs w:val="18"/>
              </w:rPr>
            </w:pPr>
            <w:r w:rsidRPr="00FF3766">
              <w:rPr>
                <w:rFonts w:ascii="Arial" w:eastAsia="Cambria" w:hAnsi="Arial" w:cs="Arial"/>
                <w:b/>
                <w:sz w:val="18"/>
                <w:szCs w:val="18"/>
              </w:rPr>
              <w:t xml:space="preserve">10. </w:t>
            </w:r>
            <w:r w:rsidR="00AE64FE" w:rsidRPr="00FF3766">
              <w:rPr>
                <w:rFonts w:ascii="Arial" w:eastAsia="Cambria" w:hAnsi="Arial" w:cs="Arial"/>
                <w:b/>
                <w:sz w:val="18"/>
                <w:szCs w:val="18"/>
              </w:rPr>
              <w:t>Прекращение Договора.</w:t>
            </w:r>
            <w:r w:rsidR="00AE64FE" w:rsidRPr="00FF3766">
              <w:rPr>
                <w:rFonts w:ascii="Arial" w:eastAsia="Cambria" w:hAnsi="Arial" w:cs="Arial"/>
                <w:sz w:val="18"/>
                <w:szCs w:val="18"/>
              </w:rPr>
              <w:t xml:space="preserve"> </w:t>
            </w:r>
            <w:proofErr w:type="gramStart"/>
            <w:r w:rsidR="00AE64FE" w:rsidRPr="00FF3766">
              <w:rPr>
                <w:rFonts w:ascii="Arial" w:eastAsia="Cambria" w:hAnsi="Arial" w:cs="Arial"/>
                <w:sz w:val="18"/>
                <w:szCs w:val="18"/>
              </w:rPr>
              <w:t xml:space="preserve">Пользователь признает, что </w:t>
            </w:r>
            <w:r w:rsidR="00951C96" w:rsidRPr="00FF3766">
              <w:rPr>
                <w:rFonts w:ascii="Arial" w:eastAsia="Cambria" w:hAnsi="Arial" w:cs="Arial"/>
                <w:sz w:val="18"/>
                <w:szCs w:val="18"/>
              </w:rPr>
              <w:t>MDX</w:t>
            </w:r>
            <w:r w:rsidR="00AE64FE" w:rsidRPr="00FF3766">
              <w:rPr>
                <w:rFonts w:ascii="Arial" w:eastAsia="Cambria" w:hAnsi="Arial" w:cs="Arial"/>
                <w:sz w:val="18"/>
                <w:szCs w:val="18"/>
              </w:rPr>
              <w:t xml:space="preserve"> имеет право в одностороннем порядке ограничить или прекратить право получения или использования Биржевой информации или какую-либо их часть в отношении любого Лица, когда это потребуется в целях исполнения обязательств, предписанных законом или в иных обстоятельствах, уведомив </w:t>
            </w:r>
            <w:proofErr w:type="spellStart"/>
            <w:r w:rsidR="00AE64FE" w:rsidRPr="00FF3766">
              <w:rPr>
                <w:rFonts w:ascii="Arial" w:eastAsia="Cambria" w:hAnsi="Arial" w:cs="Arial"/>
                <w:sz w:val="18"/>
                <w:szCs w:val="18"/>
              </w:rPr>
              <w:t>Devexperts</w:t>
            </w:r>
            <w:proofErr w:type="spellEnd"/>
            <w:r w:rsidR="00AE64FE" w:rsidRPr="00FF3766">
              <w:rPr>
                <w:rFonts w:ascii="Arial" w:eastAsia="Cambria" w:hAnsi="Arial" w:cs="Arial"/>
                <w:sz w:val="18"/>
                <w:szCs w:val="18"/>
              </w:rPr>
              <w:t xml:space="preserve">, и </w:t>
            </w:r>
            <w:proofErr w:type="spellStart"/>
            <w:r w:rsidR="00AE64FE" w:rsidRPr="00FF3766">
              <w:rPr>
                <w:rFonts w:ascii="Arial" w:eastAsia="Cambria" w:hAnsi="Arial" w:cs="Arial"/>
                <w:sz w:val="18"/>
                <w:szCs w:val="18"/>
              </w:rPr>
              <w:t>Devexperts</w:t>
            </w:r>
            <w:proofErr w:type="spellEnd"/>
            <w:r w:rsidR="00AE64FE" w:rsidRPr="00FF3766">
              <w:rPr>
                <w:rFonts w:ascii="Arial" w:eastAsia="Cambria" w:hAnsi="Arial" w:cs="Arial"/>
                <w:sz w:val="18"/>
                <w:szCs w:val="18"/>
              </w:rPr>
              <w:t xml:space="preserve"> обязуется безотлагательно следовать данному </w:t>
            </w:r>
            <w:r w:rsidR="00AE64FE" w:rsidRPr="00FF3766">
              <w:rPr>
                <w:rFonts w:ascii="Arial" w:eastAsia="Cambria" w:hAnsi="Arial" w:cs="Arial"/>
                <w:sz w:val="18"/>
                <w:szCs w:val="18"/>
              </w:rPr>
              <w:lastRenderedPageBreak/>
              <w:t>уведомлению и прекратить или ограничить поставку Биржевой информации, и подтвердить выполнение в письменной</w:t>
            </w:r>
            <w:proofErr w:type="gramEnd"/>
            <w:r w:rsidR="00AE64FE" w:rsidRPr="00FF3766">
              <w:rPr>
                <w:rFonts w:ascii="Arial" w:eastAsia="Cambria" w:hAnsi="Arial" w:cs="Arial"/>
                <w:sz w:val="18"/>
                <w:szCs w:val="18"/>
              </w:rPr>
              <w:t xml:space="preserve"> форме </w:t>
            </w:r>
            <w:r w:rsidR="00951C96" w:rsidRPr="00FF3766">
              <w:rPr>
                <w:rFonts w:ascii="Arial" w:eastAsia="Cambria" w:hAnsi="Arial" w:cs="Arial"/>
                <w:sz w:val="18"/>
                <w:szCs w:val="18"/>
              </w:rPr>
              <w:t>MDX</w:t>
            </w:r>
            <w:r w:rsidR="00AE64FE" w:rsidRPr="00FF3766">
              <w:rPr>
                <w:rFonts w:ascii="Arial" w:eastAsia="Cambria" w:hAnsi="Arial" w:cs="Arial"/>
                <w:sz w:val="18"/>
                <w:szCs w:val="18"/>
              </w:rPr>
              <w:t xml:space="preserve">. Любое потерпевшее Лицо сможет воспользоваться данной процессуальной защитой, в соответствии с Законом о торговле ценными бумагами и биржах 1934 года («Закон»), применимыми процессуальными нормами и положениями по данному Договору. В дополнение к прекращению прав, предоставляемых по любому Договору, который Пользователь имеет право заключить с </w:t>
            </w:r>
            <w:proofErr w:type="spellStart"/>
            <w:r w:rsidR="00AE64FE" w:rsidRPr="00FF3766">
              <w:rPr>
                <w:rFonts w:ascii="Arial" w:eastAsia="Cambria" w:hAnsi="Arial" w:cs="Arial"/>
                <w:sz w:val="18"/>
                <w:szCs w:val="18"/>
              </w:rPr>
              <w:t>Devexperts</w:t>
            </w:r>
            <w:proofErr w:type="spellEnd"/>
            <w:r w:rsidR="00AE64FE" w:rsidRPr="00FF3766">
              <w:rPr>
                <w:rFonts w:ascii="Arial" w:eastAsia="Cambria" w:hAnsi="Arial" w:cs="Arial"/>
                <w:sz w:val="18"/>
                <w:szCs w:val="18"/>
              </w:rPr>
              <w:t xml:space="preserve">, данный Договор может быть прекращен Пользователем в течение 30 дней путем направления письменного уведомления </w:t>
            </w:r>
            <w:proofErr w:type="spellStart"/>
            <w:r w:rsidR="00AE64FE" w:rsidRPr="00FF3766">
              <w:rPr>
                <w:rFonts w:ascii="Arial" w:eastAsia="Cambria" w:hAnsi="Arial" w:cs="Arial"/>
                <w:sz w:val="18"/>
                <w:szCs w:val="18"/>
              </w:rPr>
              <w:t>Devexperts</w:t>
            </w:r>
            <w:proofErr w:type="spellEnd"/>
            <w:r w:rsidR="00AE64FE" w:rsidRPr="00FF3766">
              <w:rPr>
                <w:rFonts w:ascii="Arial" w:eastAsia="Cambria" w:hAnsi="Arial" w:cs="Arial"/>
                <w:sz w:val="18"/>
                <w:szCs w:val="18"/>
              </w:rPr>
              <w:t xml:space="preserve"> или </w:t>
            </w:r>
            <w:r w:rsidR="00951C96" w:rsidRPr="00FF3766">
              <w:rPr>
                <w:rFonts w:ascii="Arial" w:eastAsia="Cambria" w:hAnsi="Arial" w:cs="Arial"/>
                <w:sz w:val="18"/>
                <w:szCs w:val="18"/>
              </w:rPr>
              <w:t>MDX</w:t>
            </w:r>
            <w:r w:rsidR="00AE64FE" w:rsidRPr="00FF3766">
              <w:rPr>
                <w:rFonts w:ascii="Arial" w:eastAsia="Cambria" w:hAnsi="Arial" w:cs="Arial"/>
                <w:sz w:val="18"/>
                <w:szCs w:val="18"/>
              </w:rPr>
              <w:t xml:space="preserve"> путем направления в течение 30 дней письменного уведомления </w:t>
            </w:r>
            <w:proofErr w:type="spellStart"/>
            <w:r w:rsidR="00AE64FE" w:rsidRPr="00FF3766">
              <w:rPr>
                <w:rFonts w:ascii="Arial" w:eastAsia="Cambria" w:hAnsi="Arial" w:cs="Arial"/>
                <w:sz w:val="18"/>
                <w:szCs w:val="18"/>
              </w:rPr>
              <w:t>Devexperts</w:t>
            </w:r>
            <w:proofErr w:type="spellEnd"/>
            <w:r w:rsidR="00AE64FE" w:rsidRPr="00FF3766">
              <w:rPr>
                <w:rFonts w:ascii="Arial" w:eastAsia="Cambria" w:hAnsi="Arial" w:cs="Arial"/>
                <w:sz w:val="18"/>
                <w:szCs w:val="18"/>
              </w:rPr>
              <w:t xml:space="preserve"> или Пользователю. В случае выявления нарушения Пользователем, неправдивости заявления или гарантии Пользователя, или в случае направления SEC в регулирующий орган, </w:t>
            </w:r>
            <w:r w:rsidR="00951C96" w:rsidRPr="00FF3766">
              <w:rPr>
                <w:rFonts w:ascii="Arial" w:eastAsia="Cambria" w:hAnsi="Arial" w:cs="Arial"/>
                <w:sz w:val="18"/>
                <w:szCs w:val="18"/>
              </w:rPr>
              <w:t>MDX</w:t>
            </w:r>
            <w:r w:rsidR="00AE64FE" w:rsidRPr="00FF3766">
              <w:rPr>
                <w:rFonts w:ascii="Arial" w:eastAsia="Cambria" w:hAnsi="Arial" w:cs="Arial"/>
                <w:sz w:val="18"/>
                <w:szCs w:val="18"/>
              </w:rPr>
              <w:t xml:space="preserve"> имеет право на отказ от исполнения данного Договора путем направления Пользователю письменного уведомления от </w:t>
            </w:r>
            <w:r w:rsidR="00951C96" w:rsidRPr="00FF3766">
              <w:rPr>
                <w:rFonts w:ascii="Arial" w:eastAsia="Cambria" w:hAnsi="Arial" w:cs="Arial"/>
                <w:sz w:val="18"/>
                <w:szCs w:val="18"/>
              </w:rPr>
              <w:t>MDX</w:t>
            </w:r>
            <w:r w:rsidR="00AE64FE" w:rsidRPr="00FF3766">
              <w:rPr>
                <w:rFonts w:ascii="Arial" w:eastAsia="Cambria" w:hAnsi="Arial" w:cs="Arial"/>
                <w:sz w:val="18"/>
                <w:szCs w:val="18"/>
              </w:rPr>
              <w:t xml:space="preserve"> или </w:t>
            </w:r>
            <w:proofErr w:type="spellStart"/>
            <w:r w:rsidR="00AE64FE" w:rsidRPr="00FF3766">
              <w:rPr>
                <w:rFonts w:ascii="Arial" w:eastAsia="Cambria" w:hAnsi="Arial" w:cs="Arial"/>
                <w:sz w:val="18"/>
                <w:szCs w:val="18"/>
              </w:rPr>
              <w:t>Devexperts</w:t>
            </w:r>
            <w:proofErr w:type="spellEnd"/>
            <w:r w:rsidR="00AE64FE" w:rsidRPr="00FF3766">
              <w:rPr>
                <w:rFonts w:ascii="Arial" w:eastAsia="Cambria" w:hAnsi="Arial" w:cs="Arial"/>
                <w:sz w:val="18"/>
                <w:szCs w:val="18"/>
              </w:rPr>
              <w:t xml:space="preserve"> не менее чем за 3 дня до прекращения действия Договора.</w:t>
            </w:r>
          </w:p>
          <w:p w:rsidR="00AE64FE" w:rsidRPr="00FF3766" w:rsidRDefault="00AE64FE" w:rsidP="00951C96">
            <w:pPr>
              <w:pStyle w:val="a5"/>
              <w:tabs>
                <w:tab w:val="left" w:pos="284"/>
              </w:tabs>
              <w:ind w:left="644"/>
              <w:rPr>
                <w:rFonts w:ascii="Arial" w:eastAsia="Cambria" w:hAnsi="Arial" w:cs="Arial"/>
                <w:sz w:val="18"/>
                <w:szCs w:val="18"/>
              </w:rPr>
            </w:pPr>
          </w:p>
          <w:p w:rsidR="00B36516" w:rsidRPr="0088514C" w:rsidRDefault="00AE64FE" w:rsidP="005520D3">
            <w:pPr>
              <w:tabs>
                <w:tab w:val="left" w:pos="284"/>
              </w:tabs>
              <w:ind w:left="0"/>
              <w:rPr>
                <w:rFonts w:ascii="Arial" w:eastAsia="Cambria" w:hAnsi="Arial" w:cs="Arial"/>
                <w:sz w:val="18"/>
                <w:szCs w:val="18"/>
              </w:rPr>
            </w:pPr>
            <w:r w:rsidRPr="00FF3766">
              <w:rPr>
                <w:rFonts w:ascii="Arial" w:eastAsia="Cambria" w:hAnsi="Arial" w:cs="Arial"/>
                <w:b/>
                <w:sz w:val="18"/>
                <w:szCs w:val="18"/>
              </w:rPr>
              <w:t>11. Уведомления.</w:t>
            </w:r>
            <w:r w:rsidRPr="00FF3766">
              <w:rPr>
                <w:rFonts w:ascii="Arial" w:eastAsia="Cambria" w:hAnsi="Arial" w:cs="Arial"/>
                <w:sz w:val="18"/>
                <w:szCs w:val="18"/>
              </w:rPr>
              <w:t xml:space="preserve"> Вся информация, требуемая </w:t>
            </w:r>
            <w:r w:rsidR="00951C96" w:rsidRPr="00FF3766">
              <w:rPr>
                <w:rFonts w:ascii="Arial" w:eastAsia="Cambria" w:hAnsi="Arial" w:cs="Arial"/>
                <w:sz w:val="18"/>
                <w:szCs w:val="18"/>
              </w:rPr>
              <w:t>MDX</w:t>
            </w:r>
            <w:r w:rsidRPr="00FF3766">
              <w:rPr>
                <w:rFonts w:ascii="Arial" w:eastAsia="Cambria" w:hAnsi="Arial" w:cs="Arial"/>
                <w:sz w:val="18"/>
                <w:szCs w:val="18"/>
              </w:rPr>
              <w:t xml:space="preserve"> в письменной форме по данному Договору должна быть направлена </w:t>
            </w:r>
            <w:proofErr w:type="gramStart"/>
            <w:r w:rsidRPr="00FF3766">
              <w:rPr>
                <w:rFonts w:ascii="Arial" w:eastAsia="Cambria" w:hAnsi="Arial" w:cs="Arial"/>
                <w:sz w:val="18"/>
                <w:szCs w:val="18"/>
              </w:rPr>
              <w:t>в</w:t>
            </w:r>
            <w:proofErr w:type="gramEnd"/>
            <w:r w:rsidRPr="00FF3766">
              <w:rPr>
                <w:rFonts w:ascii="Arial" w:eastAsia="Cambria" w:hAnsi="Arial" w:cs="Arial"/>
                <w:sz w:val="18"/>
                <w:szCs w:val="18"/>
              </w:rPr>
              <w:t xml:space="preserve">: </w:t>
            </w:r>
            <w:proofErr w:type="spellStart"/>
            <w:r w:rsidR="005520D3" w:rsidRPr="00FF3766">
              <w:rPr>
                <w:rFonts w:ascii="Arial" w:eastAsia="Cambria" w:hAnsi="Arial" w:cs="Arial"/>
                <w:sz w:val="18"/>
                <w:szCs w:val="18"/>
              </w:rPr>
              <w:t>Market</w:t>
            </w:r>
            <w:proofErr w:type="spellEnd"/>
            <w:r w:rsidR="005520D3" w:rsidRPr="00FF3766">
              <w:rPr>
                <w:rFonts w:ascii="Arial" w:eastAsia="Cambria" w:hAnsi="Arial" w:cs="Arial"/>
                <w:sz w:val="18"/>
                <w:szCs w:val="18"/>
              </w:rPr>
              <w:t xml:space="preserve"> </w:t>
            </w:r>
            <w:proofErr w:type="spellStart"/>
            <w:r w:rsidR="005520D3" w:rsidRPr="00FF3766">
              <w:rPr>
                <w:rFonts w:ascii="Arial" w:eastAsia="Cambria" w:hAnsi="Arial" w:cs="Arial"/>
                <w:sz w:val="18"/>
                <w:szCs w:val="18"/>
              </w:rPr>
              <w:t>Data</w:t>
            </w:r>
            <w:proofErr w:type="spellEnd"/>
            <w:r w:rsidR="005520D3" w:rsidRPr="00FF3766">
              <w:rPr>
                <w:rFonts w:ascii="Arial" w:eastAsia="Cambria" w:hAnsi="Arial" w:cs="Arial"/>
                <w:sz w:val="18"/>
                <w:szCs w:val="18"/>
              </w:rPr>
              <w:t xml:space="preserve"> </w:t>
            </w:r>
            <w:proofErr w:type="spellStart"/>
            <w:r w:rsidR="005520D3" w:rsidRPr="00FF3766">
              <w:rPr>
                <w:rFonts w:ascii="Arial" w:eastAsia="Cambria" w:hAnsi="Arial" w:cs="Arial"/>
                <w:sz w:val="18"/>
                <w:szCs w:val="18"/>
              </w:rPr>
              <w:t>Express</w:t>
            </w:r>
            <w:proofErr w:type="spellEnd"/>
            <w:r w:rsidR="005520D3" w:rsidRPr="00FF3766">
              <w:rPr>
                <w:rFonts w:ascii="Arial" w:eastAsia="Cambria" w:hAnsi="Arial" w:cs="Arial"/>
                <w:sz w:val="18"/>
                <w:szCs w:val="18"/>
              </w:rPr>
              <w:t xml:space="preserve">, LLC. </w:t>
            </w:r>
          </w:p>
          <w:p w:rsidR="00AE64FE" w:rsidRPr="00B36516" w:rsidRDefault="005520D3" w:rsidP="005520D3">
            <w:pPr>
              <w:tabs>
                <w:tab w:val="left" w:pos="284"/>
              </w:tabs>
              <w:ind w:left="0"/>
              <w:rPr>
                <w:rFonts w:ascii="Arial" w:eastAsia="Cambria" w:hAnsi="Arial" w:cs="Arial"/>
                <w:sz w:val="18"/>
                <w:szCs w:val="18"/>
                <w:lang w:val="en-US"/>
              </w:rPr>
            </w:pPr>
            <w:r w:rsidRPr="00B36516">
              <w:rPr>
                <w:rFonts w:ascii="Arial" w:eastAsia="Cambria" w:hAnsi="Arial" w:cs="Arial"/>
                <w:sz w:val="18"/>
                <w:szCs w:val="18"/>
                <w:lang w:val="en-US"/>
              </w:rPr>
              <w:t>400 South LaSalle Street Chicago, IL 60605</w:t>
            </w:r>
            <w:r w:rsidR="00B36516">
              <w:rPr>
                <w:rFonts w:ascii="Arial" w:eastAsia="Cambria" w:hAnsi="Arial" w:cs="Arial"/>
                <w:sz w:val="18"/>
                <w:szCs w:val="18"/>
                <w:lang w:val="en-US"/>
              </w:rPr>
              <w:t xml:space="preserve"> </w:t>
            </w:r>
            <w:r w:rsidR="00AE64FE" w:rsidRPr="00FF3766">
              <w:rPr>
                <w:rFonts w:ascii="Arial" w:eastAsia="Cambria" w:hAnsi="Arial" w:cs="Arial"/>
                <w:sz w:val="18"/>
                <w:szCs w:val="18"/>
              </w:rPr>
              <w:t>Вниманию</w:t>
            </w:r>
            <w:r w:rsidR="00B36516">
              <w:rPr>
                <w:rFonts w:ascii="Arial" w:eastAsia="Cambria" w:hAnsi="Arial" w:cs="Arial"/>
                <w:sz w:val="18"/>
                <w:szCs w:val="18"/>
                <w:lang w:val="en-US"/>
              </w:rPr>
              <w:t>:</w:t>
            </w:r>
            <w:r w:rsidR="00AE64FE" w:rsidRPr="00B36516">
              <w:rPr>
                <w:rFonts w:ascii="Arial" w:eastAsia="Cambria" w:hAnsi="Arial" w:cs="Arial"/>
                <w:sz w:val="18"/>
                <w:szCs w:val="18"/>
                <w:lang w:val="en-US"/>
              </w:rPr>
              <w:t xml:space="preserve"> </w:t>
            </w:r>
            <w:r w:rsidR="00AE64FE" w:rsidRPr="00FF3766">
              <w:rPr>
                <w:rFonts w:ascii="Arial" w:eastAsia="Cambria" w:hAnsi="Arial" w:cs="Arial"/>
                <w:sz w:val="18"/>
                <w:szCs w:val="18"/>
              </w:rPr>
              <w:t>Юридического</w:t>
            </w:r>
            <w:r w:rsidR="00AE64FE" w:rsidRPr="00B36516">
              <w:rPr>
                <w:rFonts w:ascii="Arial" w:eastAsia="Cambria" w:hAnsi="Arial" w:cs="Arial"/>
                <w:sz w:val="18"/>
                <w:szCs w:val="18"/>
                <w:lang w:val="en-US"/>
              </w:rPr>
              <w:t xml:space="preserve"> </w:t>
            </w:r>
            <w:r w:rsidR="00AE64FE" w:rsidRPr="00FF3766">
              <w:rPr>
                <w:rFonts w:ascii="Arial" w:eastAsia="Cambria" w:hAnsi="Arial" w:cs="Arial"/>
                <w:sz w:val="18"/>
                <w:szCs w:val="18"/>
              </w:rPr>
              <w:t>отдела</w:t>
            </w: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Прямое обращение к Пользователю по последнему известному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адресу будет считаться направленным (а) после фактического получения, если направлено на адрес электронной почты, или (б) после размещения уведомления или другой информации на </w:t>
            </w:r>
            <w:r w:rsidR="00951C96" w:rsidRPr="00FF3766">
              <w:rPr>
                <w:rFonts w:ascii="Arial" w:hAnsi="Arial" w:cs="Arial"/>
                <w:sz w:val="18"/>
                <w:szCs w:val="18"/>
              </w:rPr>
              <w:t>www.bats.com</w:t>
            </w:r>
            <w:r w:rsidRPr="00FF3766">
              <w:rPr>
                <w:rFonts w:ascii="Arial" w:eastAsia="Cambria" w:hAnsi="Arial" w:cs="Arial"/>
                <w:sz w:val="18"/>
                <w:szCs w:val="18"/>
              </w:rPr>
              <w:t xml:space="preserve"> или альтернативном сайте. Пользователь отправляет письменное уведомление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в случае изменений в имени, месте проживания или месте ведения деятельности, по которому получается Биржевая информация.</w:t>
            </w:r>
          </w:p>
          <w:p w:rsidR="00AE64FE" w:rsidRPr="00FF3766" w:rsidRDefault="00AE64FE" w:rsidP="00951C96">
            <w:pPr>
              <w:tabs>
                <w:tab w:val="left" w:pos="284"/>
              </w:tabs>
              <w:ind w:left="0"/>
              <w:rPr>
                <w:rFonts w:ascii="Arial" w:eastAsia="Cambria" w:hAnsi="Arial" w:cs="Arial"/>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b/>
                <w:sz w:val="18"/>
                <w:szCs w:val="18"/>
              </w:rPr>
              <w:t>12. Передача прав.</w:t>
            </w:r>
            <w:r w:rsidRPr="00FF3766">
              <w:rPr>
                <w:rFonts w:ascii="Arial" w:eastAsia="Cambria" w:hAnsi="Arial" w:cs="Arial"/>
                <w:sz w:val="18"/>
                <w:szCs w:val="18"/>
              </w:rPr>
              <w:t xml:space="preserve"> Данный Договор является действительным и обязательным для соблюдения сторонами и их соответствующих правомочных приемников и правопреемников. Ни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ни Пользователь не имеет права переуступить данный Договор (в силу закона) без предварительного письменного согласия </w:t>
            </w:r>
            <w:r w:rsidR="00951C96" w:rsidRPr="00FF3766">
              <w:rPr>
                <w:rFonts w:ascii="Arial" w:eastAsia="Cambria" w:hAnsi="Arial" w:cs="Arial"/>
                <w:sz w:val="18"/>
                <w:szCs w:val="18"/>
              </w:rPr>
              <w:t>MDX</w:t>
            </w:r>
            <w:r w:rsidRPr="00FF3766">
              <w:rPr>
                <w:rFonts w:ascii="Arial" w:eastAsia="Cambria" w:hAnsi="Arial" w:cs="Arial"/>
                <w:sz w:val="18"/>
                <w:szCs w:val="18"/>
              </w:rPr>
              <w:t xml:space="preserve">, при условии, что </w:t>
            </w:r>
            <w:r w:rsidR="00951C96" w:rsidRPr="00FF3766">
              <w:rPr>
                <w:rFonts w:ascii="Arial" w:eastAsia="Cambria" w:hAnsi="Arial" w:cs="Arial"/>
                <w:sz w:val="18"/>
                <w:szCs w:val="18"/>
              </w:rPr>
              <w:t>MDX</w:t>
            </w:r>
            <w:r w:rsidRPr="00FF3766">
              <w:rPr>
                <w:rFonts w:ascii="Arial" w:eastAsia="Cambria" w:hAnsi="Arial" w:cs="Arial"/>
                <w:sz w:val="18"/>
                <w:szCs w:val="18"/>
              </w:rPr>
              <w:t xml:space="preserve"> не откажет в согласии необоснованно. Несмотря на вышесказанное,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или Пользователь имеет право переуступить данный Договор аффилированному лицу или дочерней компании без предварительного письменного уведомления </w:t>
            </w:r>
            <w:r w:rsidR="00951C96" w:rsidRPr="00FF3766">
              <w:rPr>
                <w:rFonts w:ascii="Arial" w:eastAsia="Cambria" w:hAnsi="Arial" w:cs="Arial"/>
                <w:sz w:val="18"/>
                <w:szCs w:val="18"/>
              </w:rPr>
              <w:t>MDX</w:t>
            </w:r>
            <w:r w:rsidRPr="00FF3766">
              <w:rPr>
                <w:rFonts w:ascii="Arial" w:eastAsia="Cambria" w:hAnsi="Arial" w:cs="Arial"/>
                <w:sz w:val="18"/>
                <w:szCs w:val="18"/>
              </w:rPr>
              <w:t xml:space="preserve">, при условии, что переуступающая сторона не нарушает условий данного Договора и выполняет свои платежные обязательства перед </w:t>
            </w:r>
            <w:r w:rsidR="00951C96" w:rsidRPr="00FF3766">
              <w:rPr>
                <w:rFonts w:ascii="Arial" w:eastAsia="Cambria" w:hAnsi="Arial" w:cs="Arial"/>
                <w:sz w:val="18"/>
                <w:szCs w:val="18"/>
              </w:rPr>
              <w:t>MDX</w:t>
            </w:r>
            <w:r w:rsidRPr="00FF3766">
              <w:rPr>
                <w:rFonts w:ascii="Arial" w:eastAsia="Cambria" w:hAnsi="Arial" w:cs="Arial"/>
                <w:sz w:val="18"/>
                <w:szCs w:val="18"/>
              </w:rPr>
              <w:t xml:space="preserve">.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имеет право, в соответствии с законом, переуступить или передать данный Договор, какие-либо его права или обязанности по нему заинтересованной или незаинтересованной стороне после направления уведомления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или Пользователю.</w:t>
            </w:r>
          </w:p>
          <w:p w:rsidR="00AE64FE" w:rsidRPr="00FF3766" w:rsidRDefault="00AE64FE" w:rsidP="00951C96">
            <w:pPr>
              <w:tabs>
                <w:tab w:val="left" w:pos="284"/>
              </w:tabs>
              <w:ind w:left="0"/>
              <w:rPr>
                <w:rFonts w:ascii="Arial" w:eastAsia="Cambria" w:hAnsi="Arial" w:cs="Arial"/>
                <w:b/>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b/>
                <w:sz w:val="18"/>
                <w:szCs w:val="18"/>
              </w:rPr>
              <w:t>13. Автономность положений Договора.</w:t>
            </w:r>
            <w:r w:rsidRPr="00FF3766">
              <w:rPr>
                <w:rFonts w:ascii="Arial" w:eastAsia="Cambria" w:hAnsi="Arial" w:cs="Arial"/>
                <w:sz w:val="18"/>
                <w:szCs w:val="18"/>
              </w:rPr>
              <w:t xml:space="preserve"> Каждое положение данного Договора будет считаться действительным и имеющим силу в соответствии с действующим законодательством, однако если какое-либо положение данного Договора считается не имеющим силы, недействительным или </w:t>
            </w:r>
            <w:r w:rsidRPr="00FF3766">
              <w:rPr>
                <w:rFonts w:ascii="Arial" w:eastAsia="Cambria" w:hAnsi="Arial" w:cs="Arial"/>
                <w:sz w:val="18"/>
                <w:szCs w:val="18"/>
              </w:rPr>
              <w:lastRenderedPageBreak/>
              <w:t>невозможным для выполнения по закону, нормам, административному предписанию или судебному постановлению, остальные положения данного Договора останутся неизменны.</w:t>
            </w:r>
          </w:p>
          <w:p w:rsidR="00AE64FE" w:rsidRPr="00FF3766" w:rsidRDefault="00AE64FE" w:rsidP="00951C96">
            <w:pPr>
              <w:tabs>
                <w:tab w:val="left" w:pos="284"/>
              </w:tabs>
              <w:ind w:left="0"/>
              <w:rPr>
                <w:rFonts w:ascii="Arial" w:eastAsia="Cambria" w:hAnsi="Arial" w:cs="Arial"/>
                <w:b/>
                <w:sz w:val="18"/>
                <w:szCs w:val="18"/>
              </w:rPr>
            </w:pPr>
          </w:p>
          <w:p w:rsidR="00AE64FE" w:rsidRPr="00FF3766" w:rsidRDefault="00AE64FE" w:rsidP="00951C96">
            <w:pPr>
              <w:tabs>
                <w:tab w:val="left" w:pos="284"/>
              </w:tabs>
              <w:ind w:left="0"/>
              <w:rPr>
                <w:rFonts w:ascii="Arial" w:eastAsia="Cambria" w:hAnsi="Arial" w:cs="Arial"/>
                <w:b/>
                <w:sz w:val="18"/>
                <w:szCs w:val="18"/>
              </w:rPr>
            </w:pPr>
            <w:r w:rsidRPr="00FF3766">
              <w:rPr>
                <w:rFonts w:ascii="Arial" w:eastAsia="Cambria" w:hAnsi="Arial" w:cs="Arial"/>
                <w:b/>
                <w:sz w:val="18"/>
                <w:szCs w:val="18"/>
              </w:rPr>
              <w:t>14. Полнота Договора; Изменения; Отказ от прав.</w:t>
            </w: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sz w:val="18"/>
                <w:szCs w:val="18"/>
              </w:rPr>
              <w:t xml:space="preserve">Данный Договор представляет полный объем договоренностей сторон в отношении предмета Договора и отменяет все предыдущие соглашения или договоренности. Если существует конфликт и/или несоответствие между данным Договором и договоренностью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 Пользователя, условия данного Договора имеют преимущественную силу в отношениях между </w:t>
            </w:r>
            <w:r w:rsidR="00951C96" w:rsidRPr="00FF3766">
              <w:rPr>
                <w:rFonts w:ascii="Arial" w:eastAsia="Cambria" w:hAnsi="Arial" w:cs="Arial"/>
                <w:sz w:val="18"/>
                <w:szCs w:val="18"/>
              </w:rPr>
              <w:t>MDX</w:t>
            </w:r>
            <w:r w:rsidRPr="00FF3766">
              <w:rPr>
                <w:rFonts w:ascii="Arial" w:eastAsia="Cambria" w:hAnsi="Arial" w:cs="Arial"/>
                <w:sz w:val="18"/>
                <w:szCs w:val="18"/>
              </w:rPr>
              <w:t xml:space="preserve"> и Пользователем.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имеет право вносить любые изменения в условия данного Договора по предварительному письменному уведомлению за 60 дней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или Пользователя, и любое использование Биржевой информации после даты уведомления будет считаться принятием новых сроков или условий. </w:t>
            </w:r>
          </w:p>
          <w:p w:rsidR="00AE64FE" w:rsidRPr="00FF3766" w:rsidRDefault="00AE64FE" w:rsidP="00951C96">
            <w:pPr>
              <w:tabs>
                <w:tab w:val="left" w:pos="284"/>
              </w:tabs>
              <w:ind w:left="0"/>
              <w:rPr>
                <w:rFonts w:ascii="Arial" w:eastAsia="Cambria" w:hAnsi="Arial" w:cs="Arial"/>
                <w:sz w:val="18"/>
                <w:szCs w:val="18"/>
              </w:rPr>
            </w:pPr>
            <w:proofErr w:type="gramStart"/>
            <w:r w:rsidRPr="00FF3766">
              <w:rPr>
                <w:rFonts w:ascii="Arial" w:eastAsia="Cambria" w:hAnsi="Arial" w:cs="Arial"/>
                <w:sz w:val="18"/>
                <w:szCs w:val="18"/>
              </w:rPr>
              <w:t xml:space="preserve">Неосуществление или промедление в осуществлении прав со стороны </w:t>
            </w:r>
            <w:r w:rsidR="00951C96" w:rsidRPr="00FF3766">
              <w:rPr>
                <w:rFonts w:ascii="Arial" w:eastAsia="Cambria" w:hAnsi="Arial" w:cs="Arial"/>
                <w:sz w:val="18"/>
                <w:szCs w:val="18"/>
              </w:rPr>
              <w:t>MDX</w:t>
            </w:r>
            <w:r w:rsidRPr="00FF3766">
              <w:rPr>
                <w:rFonts w:ascii="Arial" w:eastAsia="Cambria" w:hAnsi="Arial" w:cs="Arial"/>
                <w:sz w:val="18"/>
                <w:szCs w:val="18"/>
              </w:rPr>
              <w:t xml:space="preserve"> или Пользователя, и отсутствие заведенного порядка по отношению к правам, полномочиям или преимуществам в соответствии с данным Договором не должны расцениваться в качестве отказа от прав, а также единичное или частичное осуществление таких прав, полномочий или преимуществ не препятствует любому иному или дальнейшему осуществлению любых иных прав, полномочий или преимуществ в</w:t>
            </w:r>
            <w:proofErr w:type="gramEnd"/>
            <w:r w:rsidRPr="00FF3766">
              <w:rPr>
                <w:rFonts w:ascii="Arial" w:eastAsia="Cambria" w:hAnsi="Arial" w:cs="Arial"/>
                <w:sz w:val="18"/>
                <w:szCs w:val="18"/>
              </w:rPr>
              <w:t xml:space="preserve"> </w:t>
            </w:r>
            <w:proofErr w:type="gramStart"/>
            <w:r w:rsidRPr="00FF3766">
              <w:rPr>
                <w:rFonts w:ascii="Arial" w:eastAsia="Cambria" w:hAnsi="Arial" w:cs="Arial"/>
                <w:sz w:val="18"/>
                <w:szCs w:val="18"/>
              </w:rPr>
              <w:t>соответствии</w:t>
            </w:r>
            <w:proofErr w:type="gramEnd"/>
            <w:r w:rsidRPr="00FF3766">
              <w:rPr>
                <w:rFonts w:ascii="Arial" w:eastAsia="Cambria" w:hAnsi="Arial" w:cs="Arial"/>
                <w:sz w:val="18"/>
                <w:szCs w:val="18"/>
              </w:rPr>
              <w:t xml:space="preserve"> с данным Договором.</w:t>
            </w:r>
          </w:p>
          <w:p w:rsidR="00AE64FE" w:rsidRPr="00FF3766" w:rsidRDefault="00AE64FE" w:rsidP="00951C96">
            <w:pPr>
              <w:pStyle w:val="a5"/>
              <w:tabs>
                <w:tab w:val="left" w:pos="284"/>
              </w:tabs>
              <w:ind w:left="0"/>
              <w:rPr>
                <w:rFonts w:ascii="Arial" w:eastAsia="Cambria" w:hAnsi="Arial" w:cs="Arial"/>
                <w:b/>
                <w:sz w:val="18"/>
                <w:szCs w:val="18"/>
              </w:rPr>
            </w:pPr>
          </w:p>
          <w:p w:rsidR="00AE64FE" w:rsidRPr="00FF3766" w:rsidRDefault="00AE64FE" w:rsidP="00951C96">
            <w:pPr>
              <w:pStyle w:val="a5"/>
              <w:tabs>
                <w:tab w:val="left" w:pos="284"/>
              </w:tabs>
              <w:ind w:left="0"/>
              <w:rPr>
                <w:rFonts w:ascii="Arial" w:eastAsia="Cambria" w:hAnsi="Arial" w:cs="Arial"/>
                <w:sz w:val="18"/>
                <w:szCs w:val="18"/>
              </w:rPr>
            </w:pPr>
            <w:r w:rsidRPr="00FF3766">
              <w:rPr>
                <w:rFonts w:ascii="Arial" w:eastAsia="Cambria" w:hAnsi="Arial" w:cs="Arial"/>
                <w:b/>
                <w:sz w:val="18"/>
                <w:szCs w:val="18"/>
              </w:rPr>
              <w:t>15. Территориальная подсудность и Применимое право.</w:t>
            </w:r>
            <w:r w:rsidRPr="00FF3766">
              <w:rPr>
                <w:rFonts w:ascii="Arial" w:eastAsia="Cambria" w:hAnsi="Arial" w:cs="Arial"/>
                <w:sz w:val="18"/>
                <w:szCs w:val="18"/>
              </w:rPr>
              <w:t xml:space="preserve"> Данный Договор регулируется и толкуется в соответствии с внутренним законодательством Штата Нью-Йорк, США. Настоящим Договором Пользователь подчиняется юрисдикции штата и федеральных судов Штата Нью-Йорк, США для разрешения любого спора, возникающего в соответствии с данным Договором.</w:t>
            </w:r>
          </w:p>
          <w:p w:rsidR="00AE64FE" w:rsidRPr="00FF3766" w:rsidRDefault="00AE64FE" w:rsidP="00951C96">
            <w:pPr>
              <w:tabs>
                <w:tab w:val="left" w:pos="284"/>
              </w:tabs>
              <w:ind w:left="0"/>
              <w:rPr>
                <w:rFonts w:ascii="Arial" w:eastAsia="Cambria" w:hAnsi="Arial" w:cs="Arial"/>
                <w:b/>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b/>
                <w:sz w:val="18"/>
                <w:szCs w:val="18"/>
              </w:rPr>
              <w:t>16.</w:t>
            </w:r>
            <w:r w:rsidRPr="00FF3766">
              <w:rPr>
                <w:rFonts w:ascii="Arial" w:eastAsia="Cambria" w:hAnsi="Arial" w:cs="Arial"/>
                <w:sz w:val="18"/>
                <w:szCs w:val="18"/>
              </w:rPr>
              <w:t xml:space="preserve"> </w:t>
            </w:r>
            <w:r w:rsidRPr="00FF3766">
              <w:rPr>
                <w:rFonts w:ascii="Arial" w:eastAsia="Cambria" w:hAnsi="Arial" w:cs="Arial"/>
                <w:b/>
                <w:sz w:val="18"/>
                <w:szCs w:val="18"/>
              </w:rPr>
              <w:t>Заголовки.</w:t>
            </w:r>
            <w:r w:rsidRPr="00FF3766">
              <w:rPr>
                <w:rFonts w:ascii="Arial" w:eastAsia="Cambria" w:hAnsi="Arial" w:cs="Arial"/>
                <w:sz w:val="18"/>
                <w:szCs w:val="18"/>
              </w:rPr>
              <w:t xml:space="preserve"> Заголовки разделов приведены только для удобства и не должны использоваться для передачи смысла или толкования данного Договора. Все ссылки, содержащиеся в разделах или подразделах, относятся к разделам и подразделам настоящего Договора, только если не сделана конкретная ссылка на раздел или подраздел другого документа.</w:t>
            </w:r>
          </w:p>
          <w:p w:rsidR="00AE64FE" w:rsidRPr="00FF3766" w:rsidRDefault="00AE64FE" w:rsidP="00951C96">
            <w:pPr>
              <w:tabs>
                <w:tab w:val="left" w:pos="284"/>
              </w:tabs>
              <w:ind w:left="0"/>
              <w:rPr>
                <w:rFonts w:ascii="Arial" w:eastAsia="Cambria" w:hAnsi="Arial" w:cs="Arial"/>
                <w:b/>
                <w:sz w:val="18"/>
                <w:szCs w:val="18"/>
              </w:rPr>
            </w:pPr>
          </w:p>
          <w:p w:rsidR="00AE64FE" w:rsidRPr="00FF3766" w:rsidRDefault="00AE64FE" w:rsidP="00951C96">
            <w:pPr>
              <w:tabs>
                <w:tab w:val="left" w:pos="284"/>
              </w:tabs>
              <w:ind w:left="0"/>
              <w:rPr>
                <w:rFonts w:ascii="Arial" w:eastAsia="Cambria" w:hAnsi="Arial" w:cs="Arial"/>
                <w:sz w:val="18"/>
                <w:szCs w:val="18"/>
              </w:rPr>
            </w:pPr>
            <w:r w:rsidRPr="00FF3766">
              <w:rPr>
                <w:rFonts w:ascii="Arial" w:eastAsia="Cambria" w:hAnsi="Arial" w:cs="Arial"/>
                <w:b/>
                <w:sz w:val="18"/>
                <w:szCs w:val="18"/>
              </w:rPr>
              <w:t>17. Сторонний выгодоприобретатель.</w:t>
            </w:r>
            <w:r w:rsidRPr="00FF3766">
              <w:rPr>
                <w:rFonts w:ascii="Arial" w:eastAsia="Cambria" w:hAnsi="Arial" w:cs="Arial"/>
                <w:sz w:val="18"/>
                <w:szCs w:val="18"/>
              </w:rPr>
              <w:t xml:space="preserve"> </w:t>
            </w:r>
            <w:proofErr w:type="spellStart"/>
            <w:r w:rsidRPr="00FF3766">
              <w:rPr>
                <w:rFonts w:ascii="Arial" w:eastAsia="Cambria" w:hAnsi="Arial" w:cs="Arial"/>
                <w:sz w:val="18"/>
                <w:szCs w:val="18"/>
              </w:rPr>
              <w:t>Devexperts</w:t>
            </w:r>
            <w:proofErr w:type="spellEnd"/>
            <w:r w:rsidRPr="00FF3766">
              <w:rPr>
                <w:rFonts w:ascii="Arial" w:eastAsia="Cambria" w:hAnsi="Arial" w:cs="Arial"/>
                <w:sz w:val="18"/>
                <w:szCs w:val="18"/>
              </w:rPr>
              <w:t xml:space="preserve"> и Пользователь назначают </w:t>
            </w:r>
            <w:r w:rsidR="00951C96" w:rsidRPr="00FF3766">
              <w:rPr>
                <w:rFonts w:ascii="Arial" w:eastAsia="Cambria" w:hAnsi="Arial" w:cs="Arial"/>
                <w:sz w:val="18"/>
                <w:szCs w:val="18"/>
              </w:rPr>
              <w:t>MDX</w:t>
            </w:r>
            <w:r w:rsidRPr="00FF3766">
              <w:rPr>
                <w:rFonts w:ascii="Arial" w:eastAsia="Cambria" w:hAnsi="Arial" w:cs="Arial"/>
                <w:sz w:val="18"/>
                <w:szCs w:val="18"/>
              </w:rPr>
              <w:t xml:space="preserve"> сторонним выгодоприобретателем данного Договора, с правом требования исполнения любого положения Договора.</w:t>
            </w:r>
          </w:p>
          <w:p w:rsidR="00AE64FE" w:rsidRPr="00FF3766" w:rsidRDefault="00AE64FE" w:rsidP="00951C96">
            <w:pPr>
              <w:tabs>
                <w:tab w:val="left" w:pos="284"/>
              </w:tabs>
              <w:ind w:left="0"/>
              <w:rPr>
                <w:rFonts w:ascii="Arial" w:hAnsi="Arial" w:cs="Arial"/>
                <w:b/>
                <w:sz w:val="18"/>
                <w:szCs w:val="18"/>
              </w:rPr>
            </w:pPr>
          </w:p>
          <w:p w:rsidR="00AE64FE" w:rsidRPr="00FF3766" w:rsidRDefault="00AE64FE" w:rsidP="00951C96">
            <w:pPr>
              <w:tabs>
                <w:tab w:val="left" w:pos="284"/>
              </w:tabs>
              <w:ind w:left="0"/>
              <w:rPr>
                <w:rFonts w:ascii="Arial" w:hAnsi="Arial" w:cs="Arial"/>
                <w:sz w:val="18"/>
                <w:szCs w:val="18"/>
              </w:rPr>
            </w:pPr>
            <w:r w:rsidRPr="00FF3766">
              <w:rPr>
                <w:rFonts w:ascii="Arial" w:hAnsi="Arial" w:cs="Arial"/>
                <w:b/>
                <w:sz w:val="18"/>
                <w:szCs w:val="18"/>
              </w:rPr>
              <w:t xml:space="preserve">18. Дополнительные средства судебной защиты. </w:t>
            </w:r>
            <w:proofErr w:type="gramStart"/>
            <w:r w:rsidRPr="00FF3766">
              <w:rPr>
                <w:rFonts w:ascii="Arial" w:hAnsi="Arial" w:cs="Arial"/>
                <w:sz w:val="18"/>
                <w:szCs w:val="18"/>
              </w:rPr>
              <w:t>За исключением случаев ограничения по данному Договору, все права в соответствии с ним являются дополнительными и неисключительными, и осуществление сторонами любого права или средства судебной защиты не препятствует осуществлению любых других прав или средств судебной защиты, которые могут быть доступны в настоящий момент или впоследствии по закону, праву, в законодательном порядке, в любом другом договоре между сторонами (включая без ограничений</w:t>
            </w:r>
            <w:proofErr w:type="gramEnd"/>
            <w:r w:rsidRPr="00FF3766">
              <w:rPr>
                <w:rFonts w:ascii="Arial" w:hAnsi="Arial" w:cs="Arial"/>
                <w:sz w:val="18"/>
                <w:szCs w:val="18"/>
              </w:rPr>
              <w:t xml:space="preserve"> </w:t>
            </w:r>
            <w:proofErr w:type="gramStart"/>
            <w:r w:rsidRPr="00FF3766">
              <w:rPr>
                <w:rFonts w:ascii="Arial" w:hAnsi="Arial" w:cs="Arial"/>
                <w:sz w:val="18"/>
                <w:szCs w:val="18"/>
              </w:rPr>
              <w:t>Дополнительные Соглашения) или в иных случаях.</w:t>
            </w:r>
            <w:proofErr w:type="gramEnd"/>
          </w:p>
          <w:p w:rsidR="00AE64FE" w:rsidRPr="00FF3766" w:rsidRDefault="00AE64FE" w:rsidP="00951C96">
            <w:pPr>
              <w:tabs>
                <w:tab w:val="left" w:pos="284"/>
              </w:tabs>
              <w:ind w:left="0"/>
              <w:rPr>
                <w:rFonts w:ascii="Arial" w:hAnsi="Arial" w:cs="Arial"/>
                <w:sz w:val="18"/>
                <w:szCs w:val="18"/>
              </w:rPr>
            </w:pPr>
          </w:p>
          <w:p w:rsidR="00FF3766" w:rsidRPr="00FF3766" w:rsidRDefault="00FF3766" w:rsidP="00951C96">
            <w:pPr>
              <w:tabs>
                <w:tab w:val="left" w:pos="284"/>
              </w:tabs>
              <w:ind w:left="0"/>
              <w:rPr>
                <w:rFonts w:ascii="Arial" w:hAnsi="Arial" w:cs="Arial"/>
                <w:sz w:val="18"/>
                <w:szCs w:val="18"/>
              </w:rPr>
            </w:pPr>
          </w:p>
          <w:p w:rsidR="00AE64FE" w:rsidRPr="00FF3766" w:rsidRDefault="00AE64FE" w:rsidP="00951C96">
            <w:pPr>
              <w:tabs>
                <w:tab w:val="left" w:pos="284"/>
              </w:tabs>
              <w:ind w:left="0"/>
              <w:rPr>
                <w:rFonts w:ascii="Arial" w:eastAsia="Cambria" w:hAnsi="Arial" w:cs="Arial"/>
                <w:b/>
                <w:sz w:val="18"/>
                <w:szCs w:val="18"/>
              </w:rPr>
            </w:pPr>
            <w:r w:rsidRPr="00FF3766">
              <w:rPr>
                <w:rFonts w:ascii="Arial" w:hAnsi="Arial" w:cs="Arial"/>
                <w:b/>
                <w:sz w:val="18"/>
                <w:szCs w:val="18"/>
              </w:rPr>
              <w:t>19. Экземпляры Договора.</w:t>
            </w:r>
            <w:r w:rsidRPr="00FF3766">
              <w:rPr>
                <w:rFonts w:ascii="Arial" w:hAnsi="Arial" w:cs="Arial"/>
                <w:sz w:val="18"/>
                <w:szCs w:val="18"/>
              </w:rPr>
              <w:t xml:space="preserve"> Настоящий Договор </w:t>
            </w:r>
            <w:r w:rsidRPr="00FF3766">
              <w:rPr>
                <w:rFonts w:ascii="Arial" w:hAnsi="Arial" w:cs="Arial"/>
                <w:sz w:val="18"/>
                <w:szCs w:val="18"/>
              </w:rPr>
              <w:lastRenderedPageBreak/>
              <w:t>может быть оформлен в одном или более экземплярах, каждый из которых будет считаться оригиналом, при этом все экземпляры представляют собой один и тот же Договор.</w:t>
            </w:r>
            <w:r w:rsidRPr="00FF3766">
              <w:rPr>
                <w:rFonts w:ascii="Arial" w:eastAsia="Cambria" w:hAnsi="Arial" w:cs="Arial"/>
                <w:b/>
                <w:sz w:val="18"/>
                <w:szCs w:val="18"/>
              </w:rPr>
              <w:t xml:space="preserve">  </w:t>
            </w:r>
          </w:p>
          <w:p w:rsidR="00AE64FE" w:rsidRPr="00FF3766" w:rsidRDefault="00AE64FE" w:rsidP="00951C96">
            <w:pPr>
              <w:ind w:left="0"/>
              <w:rPr>
                <w:rFonts w:ascii="Arial" w:eastAsia="Cambria" w:hAnsi="Arial" w:cs="Arial"/>
                <w:b/>
                <w:sz w:val="18"/>
                <w:szCs w:val="18"/>
              </w:rPr>
            </w:pPr>
          </w:p>
        </w:tc>
      </w:tr>
    </w:tbl>
    <w:p w:rsidR="00130D9B" w:rsidRDefault="00130D9B" w:rsidP="00130D9B">
      <w:pPr>
        <w:ind w:left="142"/>
        <w:rPr>
          <w:rFonts w:ascii="Arial" w:hAnsi="Arial" w:cs="Arial"/>
          <w:sz w:val="18"/>
          <w:szCs w:val="18"/>
        </w:rPr>
      </w:pPr>
    </w:p>
    <w:p w:rsidR="00025ECC" w:rsidRDefault="00025ECC" w:rsidP="00130D9B">
      <w:pPr>
        <w:ind w:left="142"/>
        <w:rPr>
          <w:rFonts w:ascii="Arial" w:hAnsi="Arial" w:cs="Arial"/>
          <w:sz w:val="18"/>
          <w:szCs w:val="18"/>
        </w:rPr>
      </w:pPr>
    </w:p>
    <w:p w:rsidR="00025ECC" w:rsidRPr="00025ECC" w:rsidRDefault="00025ECC" w:rsidP="00130D9B">
      <w:pPr>
        <w:ind w:left="142"/>
        <w:rPr>
          <w:rFonts w:ascii="Arial" w:hAnsi="Arial" w:cs="Arial"/>
          <w:sz w:val="18"/>
          <w:szCs w:val="18"/>
        </w:rPr>
      </w:pPr>
    </w:p>
    <w:p w:rsidR="00130D9B" w:rsidRPr="00FF3766" w:rsidRDefault="00130D9B" w:rsidP="00130D9B">
      <w:pPr>
        <w:rPr>
          <w:rFonts w:ascii="Arial" w:hAnsi="Arial" w:cs="Arial"/>
          <w:sz w:val="18"/>
          <w:szCs w:val="18"/>
          <w:lang w:val="en-US"/>
        </w:rPr>
      </w:pPr>
      <w:r w:rsidRPr="00025ECC">
        <w:rPr>
          <w:rFonts w:ascii="Arial" w:hAnsi="Arial" w:cs="Arial"/>
          <w:sz w:val="18"/>
          <w:szCs w:val="18"/>
        </w:rPr>
        <w:t xml:space="preserve">            </w:t>
      </w:r>
      <w:proofErr w:type="gramStart"/>
      <w:r w:rsidRPr="00FF3766">
        <w:rPr>
          <w:rFonts w:ascii="Arial" w:hAnsi="Arial" w:cs="Arial"/>
          <w:sz w:val="18"/>
          <w:szCs w:val="18"/>
        </w:rPr>
        <w:t>Т</w:t>
      </w:r>
      <w:proofErr w:type="spellStart"/>
      <w:proofErr w:type="gramEnd"/>
      <w:r w:rsidRPr="00FF3766">
        <w:rPr>
          <w:rFonts w:ascii="Arial" w:hAnsi="Arial" w:cs="Arial"/>
          <w:sz w:val="18"/>
          <w:szCs w:val="18"/>
          <w:lang w:val="en-US"/>
        </w:rPr>
        <w:t>ype</w:t>
      </w:r>
      <w:proofErr w:type="spellEnd"/>
      <w:r w:rsidRPr="00FF3766">
        <w:rPr>
          <w:rFonts w:ascii="Arial" w:hAnsi="Arial" w:cs="Arial"/>
          <w:sz w:val="18"/>
          <w:szCs w:val="18"/>
          <w:lang w:val="en-US"/>
        </w:rPr>
        <w:t xml:space="preserve"> of the </w:t>
      </w:r>
      <w:proofErr w:type="spellStart"/>
      <w:r w:rsidRPr="00FF3766">
        <w:rPr>
          <w:rFonts w:ascii="Arial" w:hAnsi="Arial" w:cs="Arial"/>
          <w:sz w:val="18"/>
          <w:szCs w:val="18"/>
          <w:lang w:val="en-US"/>
        </w:rPr>
        <w:t>Subcriber</w:t>
      </w:r>
      <w:proofErr w:type="spellEnd"/>
      <w:r w:rsidRPr="00FF3766">
        <w:rPr>
          <w:rFonts w:ascii="Arial" w:hAnsi="Arial" w:cs="Arial"/>
          <w:sz w:val="18"/>
          <w:szCs w:val="18"/>
          <w:lang w:val="en-US"/>
        </w:rPr>
        <w:t>/</w:t>
      </w:r>
      <w:r w:rsidRPr="00FF3766">
        <w:rPr>
          <w:rFonts w:ascii="Arial" w:hAnsi="Arial" w:cs="Arial"/>
          <w:sz w:val="18"/>
          <w:szCs w:val="18"/>
        </w:rPr>
        <w:t>Вид</w:t>
      </w:r>
      <w:r w:rsidRPr="00FF3766">
        <w:rPr>
          <w:rFonts w:ascii="Arial" w:hAnsi="Arial" w:cs="Arial"/>
          <w:sz w:val="18"/>
          <w:szCs w:val="18"/>
          <w:lang w:val="en-US"/>
        </w:rPr>
        <w:t xml:space="preserve"> </w:t>
      </w:r>
      <w:r w:rsidRPr="00FF3766">
        <w:rPr>
          <w:rFonts w:ascii="Arial" w:hAnsi="Arial" w:cs="Arial"/>
          <w:sz w:val="18"/>
          <w:szCs w:val="18"/>
        </w:rPr>
        <w:t>Пользователя</w:t>
      </w:r>
      <w:r w:rsidRPr="00FF3766">
        <w:rPr>
          <w:rFonts w:ascii="Arial" w:hAnsi="Arial" w:cs="Arial"/>
          <w:sz w:val="18"/>
          <w:szCs w:val="18"/>
          <w:lang w:val="en-US"/>
        </w:rPr>
        <w:t xml:space="preserve">:    </w:t>
      </w:r>
    </w:p>
    <w:p w:rsidR="00130D9B" w:rsidRPr="00FF3766" w:rsidRDefault="00130D9B" w:rsidP="00130D9B">
      <w:pPr>
        <w:rPr>
          <w:rFonts w:ascii="Arial" w:hAnsi="Arial" w:cs="Arial"/>
          <w:sz w:val="18"/>
          <w:szCs w:val="18"/>
        </w:rPr>
      </w:pPr>
      <w:r w:rsidRPr="00A17C50">
        <w:rPr>
          <w:rFonts w:ascii="Arial" w:hAnsi="Arial" w:cs="Arial"/>
          <w:sz w:val="18"/>
          <w:szCs w:val="18"/>
        </w:rPr>
        <w:t xml:space="preserve">            </w:t>
      </w:r>
      <w:r w:rsidR="00A17C50" w:rsidRPr="00A17C50">
        <w:rPr>
          <w:rFonts w:ascii="Arial" w:hAnsi="Arial" w:cs="Arial"/>
          <w:sz w:val="18"/>
          <w:szCs w:val="18"/>
        </w:rPr>
        <w:fldChar w:fldCharType="begin">
          <w:ffData>
            <w:name w:val="Флажок1"/>
            <w:enabled/>
            <w:calcOnExit w:val="0"/>
            <w:checkBox>
              <w:sizeAuto/>
              <w:default w:val="0"/>
            </w:checkBox>
          </w:ffData>
        </w:fldChar>
      </w:r>
      <w:bookmarkStart w:id="0" w:name="Флажок1"/>
      <w:r w:rsidR="00A17C50" w:rsidRPr="00A17C50">
        <w:rPr>
          <w:rFonts w:ascii="Arial" w:hAnsi="Arial" w:cs="Arial"/>
          <w:sz w:val="18"/>
          <w:szCs w:val="18"/>
        </w:rPr>
        <w:instrText xml:space="preserve"> FORMCHECKBOX </w:instrText>
      </w:r>
      <w:r w:rsidR="00A17C50" w:rsidRPr="00A17C50">
        <w:rPr>
          <w:rFonts w:ascii="Arial" w:hAnsi="Arial" w:cs="Arial"/>
          <w:sz w:val="18"/>
          <w:szCs w:val="18"/>
        </w:rPr>
      </w:r>
      <w:r w:rsidR="00A17C50" w:rsidRPr="00A17C50">
        <w:rPr>
          <w:rFonts w:ascii="Arial" w:hAnsi="Arial" w:cs="Arial"/>
          <w:sz w:val="18"/>
          <w:szCs w:val="18"/>
        </w:rPr>
        <w:fldChar w:fldCharType="end"/>
      </w:r>
      <w:bookmarkEnd w:id="0"/>
      <w:r w:rsidRPr="0088514C">
        <w:rPr>
          <w:rFonts w:ascii="Arial" w:hAnsi="Arial" w:cs="Arial"/>
          <w:sz w:val="18"/>
          <w:szCs w:val="18"/>
        </w:rPr>
        <w:t xml:space="preserve"> </w:t>
      </w:r>
      <w:r w:rsidRPr="00A17C50">
        <w:rPr>
          <w:rFonts w:ascii="Arial" w:hAnsi="Arial" w:cs="Arial"/>
          <w:sz w:val="18"/>
          <w:szCs w:val="18"/>
        </w:rPr>
        <w:t>Non</w:t>
      </w:r>
      <w:r w:rsidRPr="00FF3766">
        <w:rPr>
          <w:rFonts w:ascii="Arial" w:hAnsi="Arial" w:cs="Arial"/>
          <w:sz w:val="18"/>
          <w:szCs w:val="18"/>
        </w:rPr>
        <w:t>-</w:t>
      </w:r>
      <w:r w:rsidRPr="00A17C50">
        <w:rPr>
          <w:rFonts w:ascii="Arial" w:hAnsi="Arial" w:cs="Arial"/>
          <w:sz w:val="18"/>
          <w:szCs w:val="18"/>
        </w:rPr>
        <w:t>Professional</w:t>
      </w:r>
      <w:r w:rsidRPr="00FF3766">
        <w:rPr>
          <w:rFonts w:ascii="Arial" w:hAnsi="Arial" w:cs="Arial"/>
          <w:sz w:val="18"/>
          <w:szCs w:val="18"/>
        </w:rPr>
        <w:t xml:space="preserve"> </w:t>
      </w:r>
      <w:r w:rsidRPr="00A17C50">
        <w:rPr>
          <w:rFonts w:ascii="Arial" w:hAnsi="Arial" w:cs="Arial"/>
          <w:sz w:val="18"/>
          <w:szCs w:val="18"/>
        </w:rPr>
        <w:t>Subscriber</w:t>
      </w:r>
      <w:r w:rsidRPr="00FF3766">
        <w:rPr>
          <w:rFonts w:ascii="Arial" w:hAnsi="Arial" w:cs="Arial"/>
          <w:sz w:val="18"/>
          <w:szCs w:val="18"/>
        </w:rPr>
        <w:t>/ Непрофессиональный пользователь</w:t>
      </w:r>
    </w:p>
    <w:p w:rsidR="00130D9B" w:rsidRPr="00FF3766" w:rsidRDefault="00130D9B" w:rsidP="00130D9B">
      <w:pPr>
        <w:rPr>
          <w:rFonts w:ascii="Arial" w:hAnsi="Arial" w:cs="Arial"/>
          <w:sz w:val="18"/>
          <w:szCs w:val="18"/>
        </w:rPr>
      </w:pPr>
      <w:r w:rsidRPr="00FF3766">
        <w:rPr>
          <w:rFonts w:ascii="Arial" w:hAnsi="Arial" w:cs="Arial"/>
          <w:sz w:val="18"/>
          <w:szCs w:val="18"/>
        </w:rPr>
        <w:t xml:space="preserve">            </w:t>
      </w:r>
      <w:r w:rsidR="00A17C50" w:rsidRPr="00A17C50">
        <w:rPr>
          <w:rFonts w:ascii="Arial" w:hAnsi="Arial" w:cs="Arial"/>
          <w:sz w:val="18"/>
          <w:szCs w:val="18"/>
        </w:rPr>
        <w:fldChar w:fldCharType="begin">
          <w:ffData>
            <w:name w:val="Флажок2"/>
            <w:enabled/>
            <w:calcOnExit w:val="0"/>
            <w:checkBox>
              <w:sizeAuto/>
              <w:default w:val="0"/>
            </w:checkBox>
          </w:ffData>
        </w:fldChar>
      </w:r>
      <w:bookmarkStart w:id="1" w:name="Флажок2"/>
      <w:r w:rsidR="00A17C50" w:rsidRPr="00A17C50">
        <w:rPr>
          <w:rFonts w:ascii="Arial" w:hAnsi="Arial" w:cs="Arial"/>
          <w:sz w:val="18"/>
          <w:szCs w:val="18"/>
        </w:rPr>
        <w:instrText xml:space="preserve"> FORMCHECKBOX </w:instrText>
      </w:r>
      <w:r w:rsidR="00A17C50" w:rsidRPr="00A17C50">
        <w:rPr>
          <w:rFonts w:ascii="Arial" w:hAnsi="Arial" w:cs="Arial"/>
          <w:sz w:val="18"/>
          <w:szCs w:val="18"/>
        </w:rPr>
      </w:r>
      <w:r w:rsidR="00A17C50" w:rsidRPr="00A17C50">
        <w:rPr>
          <w:rFonts w:ascii="Arial" w:hAnsi="Arial" w:cs="Arial"/>
          <w:sz w:val="18"/>
          <w:szCs w:val="18"/>
        </w:rPr>
        <w:fldChar w:fldCharType="end"/>
      </w:r>
      <w:bookmarkEnd w:id="1"/>
      <w:r w:rsidRPr="00FF3766">
        <w:rPr>
          <w:rFonts w:ascii="Arial" w:hAnsi="Arial" w:cs="Arial"/>
          <w:sz w:val="18"/>
          <w:szCs w:val="18"/>
        </w:rPr>
        <w:t xml:space="preserve"> </w:t>
      </w:r>
      <w:proofErr w:type="spellStart"/>
      <w:r w:rsidRPr="00FF3766">
        <w:rPr>
          <w:rFonts w:ascii="Arial" w:hAnsi="Arial" w:cs="Arial"/>
          <w:sz w:val="18"/>
          <w:szCs w:val="18"/>
        </w:rPr>
        <w:t>Professional</w:t>
      </w:r>
      <w:proofErr w:type="spellEnd"/>
      <w:r w:rsidRPr="00FF3766">
        <w:rPr>
          <w:rFonts w:ascii="Arial" w:hAnsi="Arial" w:cs="Arial"/>
          <w:sz w:val="18"/>
          <w:szCs w:val="18"/>
        </w:rPr>
        <w:t xml:space="preserve"> </w:t>
      </w:r>
      <w:proofErr w:type="spellStart"/>
      <w:r w:rsidRPr="00FF3766">
        <w:rPr>
          <w:rFonts w:ascii="Arial" w:hAnsi="Arial" w:cs="Arial"/>
          <w:sz w:val="18"/>
          <w:szCs w:val="18"/>
        </w:rPr>
        <w:t>Subscriber</w:t>
      </w:r>
      <w:proofErr w:type="spellEnd"/>
      <w:r w:rsidRPr="00FF3766">
        <w:rPr>
          <w:rFonts w:ascii="Arial" w:hAnsi="Arial" w:cs="Arial"/>
          <w:sz w:val="18"/>
          <w:szCs w:val="18"/>
        </w:rPr>
        <w:t>/ Профессиональный пользователь</w:t>
      </w:r>
    </w:p>
    <w:p w:rsidR="00130D9B" w:rsidRPr="00FF3766" w:rsidRDefault="00130D9B" w:rsidP="00130D9B">
      <w:pPr>
        <w:spacing w:line="240" w:lineRule="auto"/>
        <w:rPr>
          <w:rFonts w:ascii="Arial" w:hAnsi="Arial" w:cs="Arial"/>
          <w:sz w:val="18"/>
          <w:szCs w:val="18"/>
        </w:rPr>
      </w:pPr>
      <w:r w:rsidRPr="00FF3766">
        <w:rPr>
          <w:rFonts w:ascii="Arial" w:hAnsi="Arial" w:cs="Arial"/>
          <w:sz w:val="18"/>
          <w:szCs w:val="18"/>
        </w:rPr>
        <w:t xml:space="preserve">        </w:t>
      </w:r>
    </w:p>
    <w:tbl>
      <w:tblPr>
        <w:tblW w:w="0" w:type="auto"/>
        <w:tblInd w:w="108" w:type="dxa"/>
        <w:tblLayout w:type="fixed"/>
        <w:tblLook w:val="04A0" w:firstRow="1" w:lastRow="0" w:firstColumn="1" w:lastColumn="0" w:noHBand="0" w:noVBand="1"/>
      </w:tblPr>
      <w:tblGrid>
        <w:gridCol w:w="4518"/>
        <w:gridCol w:w="4518"/>
      </w:tblGrid>
      <w:tr w:rsidR="00130D9B" w:rsidRPr="00FF3766" w:rsidTr="00130D9B">
        <w:tc>
          <w:tcPr>
            <w:tcW w:w="4518" w:type="dxa"/>
            <w:shd w:val="clear" w:color="auto" w:fill="auto"/>
            <w:vAlign w:val="bottom"/>
          </w:tcPr>
          <w:p w:rsidR="00130D9B" w:rsidRPr="00FF3766" w:rsidRDefault="00130D9B" w:rsidP="00130D9B">
            <w:pPr>
              <w:spacing w:line="240" w:lineRule="auto"/>
              <w:ind w:left="0"/>
              <w:jc w:val="left"/>
              <w:rPr>
                <w:rFonts w:ascii="Arial" w:eastAsia="Cambria" w:hAnsi="Arial" w:cs="Arial"/>
                <w:sz w:val="18"/>
                <w:szCs w:val="18"/>
                <w:lang w:val="en-US"/>
              </w:rPr>
            </w:pPr>
            <w:r w:rsidRPr="00FF3766">
              <w:rPr>
                <w:rFonts w:ascii="Arial" w:eastAsia="Cambria" w:hAnsi="Arial" w:cs="Arial"/>
                <w:sz w:val="18"/>
                <w:szCs w:val="18"/>
                <w:lang w:val="en-US"/>
              </w:rPr>
              <w:t>The Subscriber’s full name and passport number or any equivalent ID document details (for natural person)</w:t>
            </w:r>
          </w:p>
          <w:p w:rsidR="00130D9B" w:rsidRPr="00FF3766" w:rsidRDefault="00130D9B" w:rsidP="00130D9B">
            <w:pPr>
              <w:spacing w:line="240" w:lineRule="auto"/>
              <w:ind w:left="0"/>
              <w:jc w:val="left"/>
              <w:rPr>
                <w:rFonts w:ascii="Arial" w:eastAsia="Times New Roman" w:hAnsi="Arial" w:cs="Arial"/>
                <w:color w:val="58595B"/>
                <w:sz w:val="18"/>
                <w:szCs w:val="18"/>
              </w:rPr>
            </w:pPr>
            <w:r w:rsidRPr="00FF3766">
              <w:rPr>
                <w:rFonts w:ascii="Arial" w:eastAsia="Cambria" w:hAnsi="Arial" w:cs="Arial"/>
                <w:color w:val="58595B"/>
                <w:sz w:val="18"/>
                <w:szCs w:val="18"/>
              </w:rPr>
              <w:t>Полное имя Пользователя и номер паспорта или данные любого эквивалентного документа, удостоверяющего личность (для физического  лица)</w:t>
            </w:r>
          </w:p>
        </w:tc>
        <w:tc>
          <w:tcPr>
            <w:tcW w:w="4518" w:type="dxa"/>
            <w:tcBorders>
              <w:bottom w:val="single" w:sz="4" w:space="0" w:color="auto"/>
            </w:tcBorders>
            <w:shd w:val="clear" w:color="auto" w:fill="auto"/>
            <w:vAlign w:val="bottom"/>
          </w:tcPr>
          <w:p w:rsidR="00130D9B" w:rsidRPr="00FF3766" w:rsidRDefault="00A17C50" w:rsidP="00130D9B">
            <w:pPr>
              <w:spacing w:line="240" w:lineRule="auto"/>
              <w:ind w:left="0"/>
              <w:jc w:val="left"/>
              <w:rPr>
                <w:rFonts w:ascii="Arial" w:eastAsia="Times New Roman" w:hAnsi="Arial" w:cs="Arial"/>
                <w:sz w:val="18"/>
                <w:szCs w:val="18"/>
              </w:rPr>
            </w:pPr>
            <w:r>
              <w:rPr>
                <w:rFonts w:ascii="Arial" w:eastAsia="Times New Roman" w:hAnsi="Arial" w:cs="Arial"/>
                <w:sz w:val="18"/>
                <w:szCs w:val="18"/>
              </w:rPr>
              <w:fldChar w:fldCharType="begin">
                <w:ffData>
                  <w:name w:val="ТекстовоеПоле1"/>
                  <w:enabled/>
                  <w:calcOnExit w:val="0"/>
                  <w:textInput/>
                </w:ffData>
              </w:fldChar>
            </w:r>
            <w:bookmarkStart w:id="2" w:name="ТекстовоеПоле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
          </w:p>
        </w:tc>
      </w:tr>
      <w:tr w:rsidR="00130D9B" w:rsidRPr="00FF3766" w:rsidTr="00130D9B">
        <w:tc>
          <w:tcPr>
            <w:tcW w:w="4518" w:type="dxa"/>
            <w:shd w:val="clear" w:color="auto" w:fill="auto"/>
            <w:vAlign w:val="bottom"/>
          </w:tcPr>
          <w:p w:rsidR="00DB22FD" w:rsidRPr="0088514C" w:rsidRDefault="00DB22FD" w:rsidP="00130D9B">
            <w:pPr>
              <w:spacing w:line="240" w:lineRule="auto"/>
              <w:ind w:left="0"/>
              <w:jc w:val="left"/>
              <w:rPr>
                <w:rFonts w:ascii="Arial" w:eastAsia="Cambria" w:hAnsi="Arial" w:cs="Arial"/>
                <w:sz w:val="18"/>
                <w:szCs w:val="18"/>
              </w:rPr>
            </w:pPr>
          </w:p>
          <w:p w:rsidR="00130D9B" w:rsidRPr="00FF3766" w:rsidRDefault="00130D9B" w:rsidP="00130D9B">
            <w:pPr>
              <w:spacing w:line="240" w:lineRule="auto"/>
              <w:ind w:left="0"/>
              <w:jc w:val="left"/>
              <w:rPr>
                <w:rFonts w:ascii="Arial" w:eastAsia="Cambria" w:hAnsi="Arial" w:cs="Arial"/>
                <w:sz w:val="18"/>
                <w:szCs w:val="18"/>
                <w:lang w:val="en-US"/>
              </w:rPr>
            </w:pPr>
            <w:r w:rsidRPr="00FF3766">
              <w:rPr>
                <w:rFonts w:ascii="Arial" w:eastAsia="Cambria" w:hAnsi="Arial" w:cs="Arial"/>
                <w:sz w:val="18"/>
                <w:szCs w:val="18"/>
                <w:lang w:val="en-US"/>
              </w:rPr>
              <w:t>The name</w:t>
            </w:r>
            <w:r w:rsidRPr="00FF3766">
              <w:rPr>
                <w:rFonts w:ascii="Arial" w:hAnsi="Arial" w:cs="Arial"/>
                <w:sz w:val="18"/>
                <w:szCs w:val="18"/>
                <w:lang w:val="en-US"/>
              </w:rPr>
              <w:t xml:space="preserve"> </w:t>
            </w:r>
            <w:r w:rsidRPr="00FF3766">
              <w:rPr>
                <w:rFonts w:ascii="Arial" w:eastAsia="Cambria" w:hAnsi="Arial" w:cs="Arial"/>
                <w:sz w:val="18"/>
                <w:szCs w:val="18"/>
                <w:lang w:val="en-US"/>
              </w:rPr>
              <w:t>and registration number of the Subscriber, full name and authorization of the  signatory on behalf of the Subscriber  (for a legal person)</w:t>
            </w:r>
          </w:p>
          <w:p w:rsidR="00130D9B" w:rsidRPr="00FF3766" w:rsidRDefault="00130D9B" w:rsidP="007E3DC5">
            <w:pPr>
              <w:spacing w:line="240" w:lineRule="auto"/>
              <w:ind w:left="0"/>
              <w:jc w:val="left"/>
              <w:rPr>
                <w:rFonts w:ascii="Arial" w:eastAsia="Times New Roman" w:hAnsi="Arial" w:cs="Arial"/>
                <w:color w:val="58595B"/>
                <w:sz w:val="18"/>
                <w:szCs w:val="18"/>
              </w:rPr>
            </w:pPr>
            <w:r w:rsidRPr="00FF3766">
              <w:rPr>
                <w:rFonts w:ascii="Arial" w:eastAsia="Cambria" w:hAnsi="Arial" w:cs="Arial"/>
                <w:color w:val="58595B"/>
                <w:sz w:val="18"/>
                <w:szCs w:val="18"/>
              </w:rPr>
              <w:t>Наименование и регистрационный номер Пользователя, полное имя и полномочия лица</w:t>
            </w:r>
            <w:r w:rsidR="007E3DC5">
              <w:rPr>
                <w:rFonts w:ascii="Arial" w:eastAsia="Cambria" w:hAnsi="Arial" w:cs="Arial"/>
                <w:color w:val="58595B"/>
                <w:sz w:val="18"/>
                <w:szCs w:val="18"/>
              </w:rPr>
              <w:t>, подписывающего</w:t>
            </w:r>
            <w:r w:rsidRPr="00FF3766">
              <w:rPr>
                <w:rFonts w:ascii="Arial" w:eastAsia="Cambria" w:hAnsi="Arial" w:cs="Arial"/>
                <w:color w:val="58595B"/>
                <w:sz w:val="18"/>
                <w:szCs w:val="18"/>
              </w:rPr>
              <w:t xml:space="preserve"> от имени Пользователя (для юридического  лица)</w:t>
            </w:r>
          </w:p>
        </w:tc>
        <w:tc>
          <w:tcPr>
            <w:tcW w:w="4518" w:type="dxa"/>
            <w:tcBorders>
              <w:top w:val="single" w:sz="4" w:space="0" w:color="auto"/>
              <w:bottom w:val="single" w:sz="4" w:space="0" w:color="auto"/>
            </w:tcBorders>
            <w:shd w:val="clear" w:color="auto" w:fill="auto"/>
            <w:vAlign w:val="bottom"/>
          </w:tcPr>
          <w:p w:rsidR="00130D9B" w:rsidRPr="00FF3766" w:rsidRDefault="00A17C50" w:rsidP="00130D9B">
            <w:pPr>
              <w:spacing w:line="240" w:lineRule="auto"/>
              <w:ind w:left="0"/>
              <w:jc w:val="left"/>
              <w:rPr>
                <w:rFonts w:ascii="Arial" w:eastAsia="Times New Roman" w:hAnsi="Arial" w:cs="Arial"/>
                <w:sz w:val="18"/>
                <w:szCs w:val="18"/>
              </w:rPr>
            </w:pPr>
            <w:r>
              <w:rPr>
                <w:rFonts w:ascii="Arial" w:eastAsia="Times New Roman" w:hAnsi="Arial" w:cs="Arial"/>
                <w:sz w:val="18"/>
                <w:szCs w:val="18"/>
              </w:rPr>
              <w:fldChar w:fldCharType="begin">
                <w:ffData>
                  <w:name w:val="ТекстовоеПоле2"/>
                  <w:enabled/>
                  <w:calcOnExit w:val="0"/>
                  <w:textInput/>
                </w:ffData>
              </w:fldChar>
            </w:r>
            <w:bookmarkStart w:id="3" w:name="ТекстовоеПоле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
          </w:p>
        </w:tc>
      </w:tr>
      <w:tr w:rsidR="00130D9B" w:rsidRPr="00FF3766" w:rsidTr="00130D9B">
        <w:tc>
          <w:tcPr>
            <w:tcW w:w="4518" w:type="dxa"/>
            <w:shd w:val="clear" w:color="auto" w:fill="auto"/>
            <w:vAlign w:val="bottom"/>
          </w:tcPr>
          <w:p w:rsidR="00DB22FD" w:rsidRPr="0088514C" w:rsidRDefault="00DB22FD" w:rsidP="00130D9B">
            <w:pPr>
              <w:spacing w:line="240" w:lineRule="auto"/>
              <w:ind w:left="0"/>
              <w:jc w:val="left"/>
              <w:rPr>
                <w:rFonts w:ascii="Arial" w:eastAsia="Cambria" w:hAnsi="Arial" w:cs="Arial"/>
                <w:sz w:val="18"/>
                <w:szCs w:val="18"/>
              </w:rPr>
            </w:pPr>
          </w:p>
          <w:p w:rsidR="00130D9B" w:rsidRPr="00FF3766" w:rsidRDefault="00130D9B" w:rsidP="00130D9B">
            <w:pPr>
              <w:spacing w:line="240" w:lineRule="auto"/>
              <w:ind w:left="0"/>
              <w:jc w:val="left"/>
              <w:rPr>
                <w:rFonts w:ascii="Arial" w:eastAsia="Cambria" w:hAnsi="Arial" w:cs="Arial"/>
                <w:sz w:val="18"/>
                <w:szCs w:val="18"/>
                <w:lang w:val="en-US"/>
              </w:rPr>
            </w:pPr>
            <w:r w:rsidRPr="00FF3766">
              <w:rPr>
                <w:rFonts w:ascii="Arial" w:eastAsia="Cambria" w:hAnsi="Arial" w:cs="Arial"/>
                <w:sz w:val="18"/>
                <w:szCs w:val="18"/>
                <w:lang w:val="en-US"/>
              </w:rPr>
              <w:t>The Subscriber’s registered address (or, if not applicable, his principal address)</w:t>
            </w:r>
          </w:p>
          <w:p w:rsidR="00130D9B" w:rsidRPr="00FF3766" w:rsidRDefault="00130D9B" w:rsidP="00130D9B">
            <w:pPr>
              <w:spacing w:line="240" w:lineRule="auto"/>
              <w:ind w:left="0"/>
              <w:jc w:val="left"/>
              <w:rPr>
                <w:rFonts w:ascii="Arial" w:eastAsia="Times New Roman" w:hAnsi="Arial" w:cs="Arial"/>
                <w:color w:val="58595B"/>
                <w:sz w:val="18"/>
                <w:szCs w:val="18"/>
              </w:rPr>
            </w:pPr>
            <w:r w:rsidRPr="00FF3766">
              <w:rPr>
                <w:rFonts w:ascii="Arial" w:eastAsia="Cambria" w:hAnsi="Arial" w:cs="Arial"/>
                <w:color w:val="58595B"/>
                <w:sz w:val="18"/>
                <w:szCs w:val="18"/>
              </w:rPr>
              <w:t>Адрес регистрации Пользователя (или, если не применимо, его основной адрес)</w:t>
            </w:r>
          </w:p>
        </w:tc>
        <w:tc>
          <w:tcPr>
            <w:tcW w:w="4518" w:type="dxa"/>
            <w:tcBorders>
              <w:top w:val="single" w:sz="4" w:space="0" w:color="auto"/>
              <w:bottom w:val="single" w:sz="4" w:space="0" w:color="auto"/>
            </w:tcBorders>
            <w:shd w:val="clear" w:color="auto" w:fill="auto"/>
            <w:vAlign w:val="bottom"/>
          </w:tcPr>
          <w:p w:rsidR="00130D9B" w:rsidRPr="00FF3766" w:rsidRDefault="00A17C50" w:rsidP="00130D9B">
            <w:pPr>
              <w:spacing w:line="240" w:lineRule="auto"/>
              <w:ind w:left="0"/>
              <w:jc w:val="left"/>
              <w:rPr>
                <w:rFonts w:ascii="Arial" w:eastAsia="Times New Roman" w:hAnsi="Arial" w:cs="Arial"/>
                <w:sz w:val="18"/>
                <w:szCs w:val="18"/>
              </w:rPr>
            </w:pPr>
            <w:r>
              <w:rPr>
                <w:rFonts w:ascii="Arial" w:eastAsia="Times New Roman" w:hAnsi="Arial" w:cs="Arial"/>
                <w:sz w:val="18"/>
                <w:szCs w:val="18"/>
              </w:rPr>
              <w:fldChar w:fldCharType="begin">
                <w:ffData>
                  <w:name w:val="ТекстовоеПоле3"/>
                  <w:enabled/>
                  <w:calcOnExit w:val="0"/>
                  <w:textInput/>
                </w:ffData>
              </w:fldChar>
            </w:r>
            <w:bookmarkStart w:id="4" w:name="ТекстовоеПоле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4"/>
          </w:p>
        </w:tc>
      </w:tr>
    </w:tbl>
    <w:p w:rsidR="00130D9B" w:rsidRPr="00FF3766" w:rsidRDefault="00130D9B" w:rsidP="00130D9B">
      <w:pPr>
        <w:rPr>
          <w:rFonts w:ascii="Arial" w:hAnsi="Arial" w:cs="Arial"/>
          <w:sz w:val="18"/>
          <w:szCs w:val="18"/>
        </w:rPr>
      </w:pPr>
    </w:p>
    <w:p w:rsidR="0043783F" w:rsidRDefault="00130D9B" w:rsidP="00130D9B">
      <w:pPr>
        <w:ind w:left="0"/>
        <w:rPr>
          <w:rFonts w:ascii="Arial" w:hAnsi="Arial" w:cs="Arial"/>
          <w:sz w:val="18"/>
          <w:szCs w:val="18"/>
        </w:rPr>
      </w:pPr>
      <w:r w:rsidRPr="00FF3766">
        <w:rPr>
          <w:rFonts w:ascii="Arial" w:hAnsi="Arial" w:cs="Arial"/>
          <w:sz w:val="18"/>
          <w:szCs w:val="18"/>
        </w:rPr>
        <w:t xml:space="preserve">   </w:t>
      </w:r>
    </w:p>
    <w:p w:rsidR="0043783F" w:rsidRDefault="0043783F" w:rsidP="00130D9B">
      <w:pPr>
        <w:ind w:left="0"/>
        <w:rPr>
          <w:rFonts w:ascii="Arial" w:hAnsi="Arial" w:cs="Arial"/>
          <w:sz w:val="18"/>
          <w:szCs w:val="18"/>
        </w:rPr>
      </w:pPr>
    </w:p>
    <w:p w:rsidR="00130D9B" w:rsidRPr="00FF3766" w:rsidRDefault="00A17C50" w:rsidP="00130D9B">
      <w:pPr>
        <w:ind w:left="0"/>
        <w:rPr>
          <w:rFonts w:ascii="Arial" w:hAnsi="Arial" w:cs="Arial"/>
          <w:sz w:val="18"/>
          <w:szCs w:val="18"/>
        </w:rPr>
      </w:pPr>
      <w:r>
        <w:rPr>
          <w:rFonts w:ascii="Arial" w:hAnsi="Arial" w:cs="Arial"/>
          <w:sz w:val="18"/>
          <w:szCs w:val="18"/>
          <w:lang w:val="en-US"/>
        </w:rPr>
        <w:t xml:space="preserve">Date / </w:t>
      </w:r>
      <w:r>
        <w:rPr>
          <w:rFonts w:ascii="Arial" w:hAnsi="Arial" w:cs="Arial"/>
          <w:sz w:val="18"/>
          <w:szCs w:val="18"/>
        </w:rPr>
        <w:t>Дата:</w:t>
      </w:r>
      <w:r w:rsidR="0043783F">
        <w:rPr>
          <w:rFonts w:ascii="Arial" w:hAnsi="Arial" w:cs="Arial"/>
          <w:sz w:val="18"/>
          <w:szCs w:val="18"/>
        </w:rPr>
        <w:t xml:space="preserve"> </w:t>
      </w:r>
      <w:r>
        <w:rPr>
          <w:rFonts w:ascii="Arial" w:hAnsi="Arial" w:cs="Arial"/>
          <w:sz w:val="18"/>
          <w:szCs w:val="18"/>
        </w:rPr>
        <w:fldChar w:fldCharType="begin">
          <w:ffData>
            <w:name w:val="ТекстовоеПоле4"/>
            <w:enabled/>
            <w:calcOnExit w:val="0"/>
            <w:textInput/>
          </w:ffData>
        </w:fldChar>
      </w:r>
      <w:bookmarkStart w:id="5" w:name="ТекстовоеПоле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6"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6"/>
      <w:r>
        <w:rPr>
          <w:rFonts w:ascii="Arial" w:hAnsi="Arial" w:cs="Arial"/>
          <w:sz w:val="18"/>
          <w:szCs w:val="18"/>
        </w:rPr>
        <w:fldChar w:fldCharType="end"/>
      </w:r>
      <w:bookmarkEnd w:id="5"/>
    </w:p>
    <w:p w:rsidR="009D6FC3" w:rsidRDefault="009D6FC3" w:rsidP="00F21A77">
      <w:pPr>
        <w:ind w:left="0" w:hanging="567"/>
        <w:rPr>
          <w:rFonts w:ascii="Arial" w:hAnsi="Arial" w:cs="Arial"/>
          <w:sz w:val="18"/>
          <w:szCs w:val="18"/>
        </w:rPr>
      </w:pPr>
    </w:p>
    <w:p w:rsidR="0088514C" w:rsidRDefault="0088514C" w:rsidP="00F21A77">
      <w:pPr>
        <w:ind w:left="0" w:hanging="567"/>
        <w:rPr>
          <w:rFonts w:ascii="Arial" w:hAnsi="Arial" w:cs="Arial"/>
          <w:sz w:val="18"/>
          <w:szCs w:val="18"/>
        </w:rPr>
      </w:pPr>
    </w:p>
    <w:tbl>
      <w:tblPr>
        <w:tblpPr w:leftFromText="180" w:rightFromText="180" w:vertAnchor="text" w:tblpX="108" w:tblpY="1"/>
        <w:tblOverlap w:val="never"/>
        <w:tblW w:w="4888" w:type="pct"/>
        <w:tblLayout w:type="fixed"/>
        <w:tblLook w:val="04A0" w:firstRow="1" w:lastRow="0" w:firstColumn="1" w:lastColumn="0" w:noHBand="0" w:noVBand="1"/>
      </w:tblPr>
      <w:tblGrid>
        <w:gridCol w:w="5068"/>
        <w:gridCol w:w="4289"/>
      </w:tblGrid>
      <w:tr w:rsidR="0088514C" w:rsidRPr="00130D9B" w:rsidTr="00242DB5">
        <w:tc>
          <w:tcPr>
            <w:tcW w:w="2348" w:type="pct"/>
            <w:shd w:val="clear" w:color="auto" w:fill="auto"/>
            <w:vAlign w:val="bottom"/>
          </w:tcPr>
          <w:p w:rsidR="0088514C" w:rsidRPr="00FF3766" w:rsidRDefault="0088514C" w:rsidP="0088514C">
            <w:pPr>
              <w:spacing w:line="240" w:lineRule="auto"/>
              <w:ind w:left="0"/>
              <w:jc w:val="left"/>
              <w:rPr>
                <w:rFonts w:ascii="Times New Roman" w:eastAsia="Times New Roman" w:hAnsi="Times New Roman"/>
                <w:color w:val="58595B"/>
                <w:sz w:val="18"/>
                <w:szCs w:val="18"/>
                <w:lang w:val="en-US" w:eastAsia="ru-RU"/>
              </w:rPr>
            </w:pPr>
            <w:r w:rsidRPr="0088514C">
              <w:rPr>
                <w:rFonts w:ascii="Arial" w:eastAsia="Cambria" w:hAnsi="Arial" w:cs="Arial"/>
                <w:sz w:val="18"/>
                <w:szCs w:val="18"/>
                <w:lang w:val="en-US"/>
              </w:rPr>
              <w:t>Подпись Пользователя</w:t>
            </w:r>
          </w:p>
          <w:p w:rsidR="0088514C" w:rsidRPr="00130D9B" w:rsidRDefault="0088514C" w:rsidP="0088514C">
            <w:pPr>
              <w:spacing w:line="240" w:lineRule="auto"/>
              <w:ind w:left="0"/>
              <w:jc w:val="left"/>
              <w:rPr>
                <w:rFonts w:ascii="Times New Roman" w:eastAsia="Times New Roman" w:hAnsi="Times New Roman"/>
                <w:color w:val="58595B"/>
                <w:sz w:val="20"/>
                <w:lang w:val="en-US" w:eastAsia="ru-RU"/>
              </w:rPr>
            </w:pPr>
            <w:r w:rsidRPr="00F0095E">
              <w:rPr>
                <w:rFonts w:ascii="Arial" w:eastAsia="Cambria" w:hAnsi="Arial" w:cs="Arial"/>
                <w:color w:val="58595B"/>
                <w:sz w:val="18"/>
                <w:szCs w:val="18"/>
                <w:lang w:val="en-US"/>
              </w:rPr>
              <w:t>Signature of the Subscriber</w:t>
            </w:r>
          </w:p>
        </w:tc>
        <w:tc>
          <w:tcPr>
            <w:tcW w:w="1988" w:type="pct"/>
            <w:tcBorders>
              <w:bottom w:val="single" w:sz="4" w:space="0" w:color="58595B"/>
            </w:tcBorders>
            <w:shd w:val="clear" w:color="auto" w:fill="auto"/>
            <w:vAlign w:val="bottom"/>
          </w:tcPr>
          <w:p w:rsidR="0088514C" w:rsidRPr="00130D9B" w:rsidRDefault="0088514C" w:rsidP="00242DB5">
            <w:pPr>
              <w:spacing w:before="224" w:after="60" w:line="240" w:lineRule="auto"/>
              <w:ind w:left="-85" w:right="-85"/>
              <w:jc w:val="left"/>
              <w:rPr>
                <w:rFonts w:ascii="Times New Roman" w:eastAsia="Times New Roman" w:hAnsi="Times New Roman"/>
                <w:color w:val="58595B"/>
                <w:sz w:val="20"/>
                <w:lang w:eastAsia="ru-RU"/>
              </w:rPr>
            </w:pPr>
            <w:r w:rsidRPr="00130D9B">
              <w:rPr>
                <w:rFonts w:ascii="Times New Roman" w:eastAsia="Times New Roman" w:hAnsi="Times New Roman"/>
                <w:noProof/>
                <w:color w:val="58595B"/>
                <w:sz w:val="20"/>
                <w:lang w:eastAsia="ru-RU"/>
              </w:rPr>
              <w:drawing>
                <wp:inline distT="0" distB="0" distL="0" distR="0" wp14:anchorId="4C7BBD17" wp14:editId="4211EE3A">
                  <wp:extent cx="273050" cy="273050"/>
                  <wp:effectExtent l="0" t="0" r="0" b="0"/>
                  <wp:docPr id="2" name="Рисунок 2" descr="6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p>
        </w:tc>
      </w:tr>
    </w:tbl>
    <w:p w:rsidR="0088514C" w:rsidRPr="00FF3766" w:rsidRDefault="0088514C" w:rsidP="00F21A77">
      <w:pPr>
        <w:ind w:left="0" w:hanging="567"/>
        <w:rPr>
          <w:rFonts w:ascii="Arial" w:hAnsi="Arial" w:cs="Arial"/>
          <w:sz w:val="18"/>
          <w:szCs w:val="18"/>
        </w:rPr>
      </w:pPr>
    </w:p>
    <w:sectPr w:rsidR="0088514C" w:rsidRPr="00FF376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F03" w:rsidRDefault="00551F03" w:rsidP="00AE64FE">
      <w:pPr>
        <w:spacing w:line="240" w:lineRule="auto"/>
      </w:pPr>
      <w:r>
        <w:separator/>
      </w:r>
    </w:p>
  </w:endnote>
  <w:endnote w:type="continuationSeparator" w:id="0">
    <w:p w:rsidR="00551F03" w:rsidRDefault="00551F03" w:rsidP="00AE6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C" w:rsidRDefault="008851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8" w:tblpY="1"/>
      <w:tblOverlap w:val="never"/>
      <w:tblW w:w="4888" w:type="pct"/>
      <w:tblLayout w:type="fixed"/>
      <w:tblLook w:val="04A0" w:firstRow="1" w:lastRow="0" w:firstColumn="1" w:lastColumn="0" w:noHBand="0" w:noVBand="1"/>
    </w:tblPr>
    <w:tblGrid>
      <w:gridCol w:w="4394"/>
      <w:gridCol w:w="3720"/>
      <w:gridCol w:w="1243"/>
    </w:tblGrid>
    <w:tr w:rsidR="00130D9B" w:rsidRPr="007A2793" w:rsidTr="0088514C">
      <w:tc>
        <w:tcPr>
          <w:tcW w:w="2348" w:type="pct"/>
          <w:shd w:val="clear" w:color="auto" w:fill="auto"/>
          <w:vAlign w:val="bottom"/>
        </w:tcPr>
        <w:p w:rsidR="00130D9B" w:rsidRPr="00130D9B" w:rsidRDefault="00130D9B" w:rsidP="00951C96">
          <w:pPr>
            <w:spacing w:line="240" w:lineRule="auto"/>
            <w:ind w:left="-85" w:right="-85"/>
            <w:jc w:val="left"/>
            <w:rPr>
              <w:rFonts w:ascii="Times New Roman" w:eastAsia="Times New Roman" w:hAnsi="Times New Roman"/>
              <w:color w:val="58595B"/>
              <w:sz w:val="20"/>
              <w:lang w:val="en-US" w:eastAsia="ru-RU"/>
            </w:rPr>
          </w:pPr>
        </w:p>
      </w:tc>
      <w:tc>
        <w:tcPr>
          <w:tcW w:w="1988" w:type="pct"/>
          <w:shd w:val="clear" w:color="auto" w:fill="auto"/>
          <w:vAlign w:val="bottom"/>
        </w:tcPr>
        <w:p w:rsidR="00130D9B" w:rsidRPr="00130D9B" w:rsidRDefault="00130D9B" w:rsidP="00951C96">
          <w:pPr>
            <w:spacing w:before="224" w:after="60" w:line="240" w:lineRule="auto"/>
            <w:ind w:left="-85" w:right="-85"/>
            <w:jc w:val="left"/>
            <w:rPr>
              <w:rFonts w:ascii="Times New Roman" w:eastAsia="Times New Roman" w:hAnsi="Times New Roman"/>
              <w:color w:val="58595B"/>
              <w:sz w:val="20"/>
              <w:lang w:eastAsia="ru-RU"/>
            </w:rPr>
          </w:pPr>
        </w:p>
      </w:tc>
      <w:tc>
        <w:tcPr>
          <w:tcW w:w="664" w:type="pct"/>
          <w:shd w:val="clear" w:color="auto" w:fill="auto"/>
          <w:vAlign w:val="bottom"/>
        </w:tcPr>
        <w:p w:rsidR="00130D9B" w:rsidRPr="00FF3766" w:rsidRDefault="00130D9B" w:rsidP="00951C96">
          <w:pPr>
            <w:spacing w:before="284" w:line="240" w:lineRule="auto"/>
            <w:ind w:left="-85" w:right="-85"/>
            <w:jc w:val="right"/>
            <w:rPr>
              <w:rFonts w:ascii="Arial" w:eastAsia="Times New Roman" w:hAnsi="Arial" w:cs="Arial"/>
              <w:color w:val="58595B"/>
              <w:sz w:val="18"/>
              <w:szCs w:val="18"/>
              <w:lang w:val="en-US" w:eastAsia="ru-RU"/>
            </w:rPr>
          </w:pPr>
          <w:r w:rsidRPr="00FF3766">
            <w:rPr>
              <w:rFonts w:ascii="Arial" w:eastAsia="Times New Roman" w:hAnsi="Arial" w:cs="Arial"/>
              <w:color w:val="58595B"/>
              <w:sz w:val="18"/>
              <w:szCs w:val="18"/>
              <w:lang w:eastAsia="ru-RU"/>
            </w:rPr>
            <w:t>стр.</w:t>
          </w:r>
          <w:r w:rsidRPr="00FF3766">
            <w:rPr>
              <w:rFonts w:ascii="Arial" w:eastAsia="Times New Roman" w:hAnsi="Arial" w:cs="Arial"/>
              <w:color w:val="58595B"/>
              <w:sz w:val="18"/>
              <w:szCs w:val="18"/>
              <w:lang w:eastAsia="ru-RU"/>
            </w:rPr>
            <w:fldChar w:fldCharType="begin"/>
          </w:r>
          <w:r w:rsidRPr="00FF3766">
            <w:rPr>
              <w:rFonts w:ascii="Arial" w:eastAsia="Times New Roman" w:hAnsi="Arial" w:cs="Arial"/>
              <w:color w:val="58595B"/>
              <w:sz w:val="18"/>
              <w:szCs w:val="18"/>
              <w:lang w:eastAsia="ru-RU"/>
            </w:rPr>
            <w:instrText>PAGE   \* MERGEFORMAT</w:instrText>
          </w:r>
          <w:r w:rsidRPr="00FF3766">
            <w:rPr>
              <w:rFonts w:ascii="Arial" w:eastAsia="Times New Roman" w:hAnsi="Arial" w:cs="Arial"/>
              <w:color w:val="58595B"/>
              <w:sz w:val="18"/>
              <w:szCs w:val="18"/>
              <w:lang w:eastAsia="ru-RU"/>
            </w:rPr>
            <w:fldChar w:fldCharType="separate"/>
          </w:r>
          <w:r w:rsidR="00615713">
            <w:rPr>
              <w:rFonts w:ascii="Arial" w:eastAsia="Times New Roman" w:hAnsi="Arial" w:cs="Arial"/>
              <w:noProof/>
              <w:color w:val="58595B"/>
              <w:sz w:val="18"/>
              <w:szCs w:val="18"/>
              <w:lang w:eastAsia="ru-RU"/>
            </w:rPr>
            <w:t>8</w:t>
          </w:r>
          <w:r w:rsidRPr="00FF3766">
            <w:rPr>
              <w:rFonts w:ascii="Arial" w:eastAsia="Times New Roman" w:hAnsi="Arial" w:cs="Arial"/>
              <w:color w:val="58595B"/>
              <w:sz w:val="18"/>
              <w:szCs w:val="18"/>
              <w:lang w:eastAsia="ru-RU"/>
            </w:rPr>
            <w:fldChar w:fldCharType="end"/>
          </w:r>
          <w:r w:rsidRPr="00FF3766">
            <w:rPr>
              <w:rFonts w:ascii="Arial" w:eastAsia="Times New Roman" w:hAnsi="Arial" w:cs="Arial"/>
              <w:color w:val="58595B"/>
              <w:sz w:val="18"/>
              <w:szCs w:val="18"/>
              <w:lang w:eastAsia="ru-RU"/>
            </w:rPr>
            <w:t xml:space="preserve"> из </w:t>
          </w:r>
          <w:r w:rsidRPr="00FF3766">
            <w:rPr>
              <w:rFonts w:ascii="Arial" w:eastAsia="Times New Roman" w:hAnsi="Arial" w:cs="Arial"/>
              <w:color w:val="58595B"/>
              <w:sz w:val="18"/>
              <w:szCs w:val="18"/>
              <w:lang w:eastAsia="ru-RU"/>
            </w:rPr>
            <w:fldChar w:fldCharType="begin"/>
          </w:r>
          <w:r w:rsidRPr="00FF3766">
            <w:rPr>
              <w:rFonts w:ascii="Arial" w:eastAsia="Times New Roman" w:hAnsi="Arial" w:cs="Arial"/>
              <w:color w:val="58595B"/>
              <w:sz w:val="18"/>
              <w:szCs w:val="18"/>
              <w:lang w:eastAsia="ru-RU"/>
            </w:rPr>
            <w:instrText xml:space="preserve"> NUMPAGES  </w:instrText>
          </w:r>
          <w:r w:rsidRPr="00FF3766">
            <w:rPr>
              <w:rFonts w:ascii="Arial" w:eastAsia="Times New Roman" w:hAnsi="Arial" w:cs="Arial"/>
              <w:color w:val="58595B"/>
              <w:sz w:val="18"/>
              <w:szCs w:val="18"/>
              <w:lang w:eastAsia="ru-RU"/>
            </w:rPr>
            <w:fldChar w:fldCharType="separate"/>
          </w:r>
          <w:r w:rsidR="00615713">
            <w:rPr>
              <w:rFonts w:ascii="Arial" w:eastAsia="Times New Roman" w:hAnsi="Arial" w:cs="Arial"/>
              <w:noProof/>
              <w:color w:val="58595B"/>
              <w:sz w:val="18"/>
              <w:szCs w:val="18"/>
              <w:lang w:eastAsia="ru-RU"/>
            </w:rPr>
            <w:t>8</w:t>
          </w:r>
          <w:r w:rsidRPr="00FF3766">
            <w:rPr>
              <w:rFonts w:ascii="Arial" w:eastAsia="Times New Roman" w:hAnsi="Arial" w:cs="Arial"/>
              <w:color w:val="58595B"/>
              <w:sz w:val="18"/>
              <w:szCs w:val="18"/>
              <w:lang w:eastAsia="ru-RU"/>
            </w:rPr>
            <w:fldChar w:fldCharType="end"/>
          </w:r>
        </w:p>
        <w:p w:rsidR="00130D9B" w:rsidRPr="007A2793" w:rsidRDefault="00130D9B" w:rsidP="00951C96">
          <w:pPr>
            <w:spacing w:line="240" w:lineRule="auto"/>
            <w:ind w:left="-85" w:right="-85"/>
            <w:jc w:val="right"/>
            <w:rPr>
              <w:rFonts w:ascii="Arial" w:eastAsia="Times New Roman" w:hAnsi="Arial" w:cs="Arial"/>
              <w:color w:val="58595B"/>
              <w:sz w:val="20"/>
              <w:lang w:val="en-US" w:eastAsia="ru-RU"/>
            </w:rPr>
          </w:pPr>
          <w:r w:rsidRPr="00FF3766">
            <w:rPr>
              <w:rFonts w:ascii="Arial" w:eastAsiaTheme="minorHAnsi" w:hAnsi="Arial" w:cs="Arial"/>
              <w:color w:val="58595B"/>
              <w:sz w:val="18"/>
              <w:szCs w:val="18"/>
              <w:lang w:val="en-US"/>
            </w:rPr>
            <w:t xml:space="preserve">page </w:t>
          </w:r>
          <w:r w:rsidRPr="00FF3766">
            <w:rPr>
              <w:rFonts w:ascii="Arial" w:eastAsiaTheme="minorHAnsi" w:hAnsi="Arial" w:cs="Arial"/>
              <w:color w:val="58595B"/>
              <w:sz w:val="18"/>
              <w:szCs w:val="18"/>
            </w:rPr>
            <w:fldChar w:fldCharType="begin"/>
          </w:r>
          <w:r w:rsidRPr="00FF3766">
            <w:rPr>
              <w:rFonts w:ascii="Arial" w:eastAsiaTheme="minorHAnsi" w:hAnsi="Arial" w:cs="Arial"/>
              <w:color w:val="58595B"/>
              <w:sz w:val="18"/>
              <w:szCs w:val="18"/>
            </w:rPr>
            <w:instrText>PAGE   \* MERGEFORMAT</w:instrText>
          </w:r>
          <w:r w:rsidRPr="00FF3766">
            <w:rPr>
              <w:rFonts w:ascii="Arial" w:eastAsiaTheme="minorHAnsi" w:hAnsi="Arial" w:cs="Arial"/>
              <w:color w:val="58595B"/>
              <w:sz w:val="18"/>
              <w:szCs w:val="18"/>
            </w:rPr>
            <w:fldChar w:fldCharType="separate"/>
          </w:r>
          <w:r w:rsidR="00615713">
            <w:rPr>
              <w:rFonts w:ascii="Arial" w:eastAsiaTheme="minorHAnsi" w:hAnsi="Arial" w:cs="Arial"/>
              <w:noProof/>
              <w:color w:val="58595B"/>
              <w:sz w:val="18"/>
              <w:szCs w:val="18"/>
            </w:rPr>
            <w:t>8</w:t>
          </w:r>
          <w:r w:rsidRPr="00FF3766">
            <w:rPr>
              <w:rFonts w:ascii="Arial" w:eastAsiaTheme="minorHAnsi" w:hAnsi="Arial" w:cs="Arial"/>
              <w:color w:val="58595B"/>
              <w:sz w:val="18"/>
              <w:szCs w:val="18"/>
            </w:rPr>
            <w:fldChar w:fldCharType="end"/>
          </w:r>
          <w:r w:rsidRPr="00FF3766">
            <w:rPr>
              <w:rFonts w:ascii="Arial" w:eastAsiaTheme="minorHAnsi" w:hAnsi="Arial" w:cs="Arial"/>
              <w:color w:val="58595B"/>
              <w:sz w:val="18"/>
              <w:szCs w:val="18"/>
            </w:rPr>
            <w:t xml:space="preserve"> </w:t>
          </w:r>
          <w:r w:rsidRPr="00FF3766">
            <w:rPr>
              <w:rFonts w:ascii="Arial" w:eastAsiaTheme="minorHAnsi" w:hAnsi="Arial" w:cs="Arial"/>
              <w:color w:val="58595B"/>
              <w:sz w:val="18"/>
              <w:szCs w:val="18"/>
              <w:lang w:val="en-US"/>
            </w:rPr>
            <w:t xml:space="preserve">of </w:t>
          </w:r>
          <w:r w:rsidRPr="00FF3766">
            <w:rPr>
              <w:rFonts w:ascii="Arial" w:eastAsiaTheme="minorHAnsi" w:hAnsi="Arial" w:cs="Arial"/>
              <w:color w:val="58595B"/>
              <w:sz w:val="18"/>
              <w:szCs w:val="18"/>
            </w:rPr>
            <w:fldChar w:fldCharType="begin"/>
          </w:r>
          <w:r w:rsidRPr="00FF3766">
            <w:rPr>
              <w:rFonts w:ascii="Arial" w:eastAsiaTheme="minorHAnsi" w:hAnsi="Arial" w:cs="Arial"/>
              <w:color w:val="58595B"/>
              <w:sz w:val="18"/>
              <w:szCs w:val="18"/>
            </w:rPr>
            <w:instrText xml:space="preserve"> NUMPAGES  \# "0" \* Arabic  \* MERGEFORMAT </w:instrText>
          </w:r>
          <w:r w:rsidRPr="00FF3766">
            <w:rPr>
              <w:rFonts w:ascii="Arial" w:eastAsiaTheme="minorHAnsi" w:hAnsi="Arial" w:cs="Arial"/>
              <w:color w:val="58595B"/>
              <w:sz w:val="18"/>
              <w:szCs w:val="18"/>
            </w:rPr>
            <w:fldChar w:fldCharType="separate"/>
          </w:r>
          <w:r w:rsidR="00615713">
            <w:rPr>
              <w:rFonts w:ascii="Arial" w:eastAsiaTheme="minorHAnsi" w:hAnsi="Arial" w:cs="Arial"/>
              <w:noProof/>
              <w:color w:val="58595B"/>
              <w:sz w:val="18"/>
              <w:szCs w:val="18"/>
            </w:rPr>
            <w:t>8</w:t>
          </w:r>
          <w:r w:rsidRPr="00FF3766">
            <w:rPr>
              <w:rFonts w:ascii="Arial" w:eastAsiaTheme="minorHAnsi" w:hAnsi="Arial" w:cs="Arial"/>
              <w:color w:val="58595B"/>
              <w:sz w:val="18"/>
              <w:szCs w:val="18"/>
            </w:rPr>
            <w:fldChar w:fldCharType="end"/>
          </w:r>
        </w:p>
      </w:tc>
    </w:tr>
  </w:tbl>
  <w:p w:rsidR="00130D9B" w:rsidRDefault="00130D9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C" w:rsidRDefault="008851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F03" w:rsidRDefault="00551F03" w:rsidP="00AE64FE">
      <w:pPr>
        <w:spacing w:line="240" w:lineRule="auto"/>
      </w:pPr>
      <w:r>
        <w:separator/>
      </w:r>
    </w:p>
  </w:footnote>
  <w:footnote w:type="continuationSeparator" w:id="0">
    <w:p w:rsidR="00551F03" w:rsidRDefault="00551F03" w:rsidP="00AE64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C" w:rsidRDefault="008851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C" w:rsidRDefault="008851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C" w:rsidRDefault="008851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24F3"/>
    <w:multiLevelType w:val="hybridMultilevel"/>
    <w:tmpl w:val="BA82AB44"/>
    <w:lvl w:ilvl="0" w:tplc="E646C65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9507BAD"/>
    <w:multiLevelType w:val="hybridMultilevel"/>
    <w:tmpl w:val="EB26CB4E"/>
    <w:lvl w:ilvl="0" w:tplc="A1E42D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2B05F9"/>
    <w:multiLevelType w:val="hybridMultilevel"/>
    <w:tmpl w:val="6F1E7046"/>
    <w:lvl w:ilvl="0" w:tplc="9434310A">
      <w:start w:val="1"/>
      <w:numFmt w:val="decimal"/>
      <w:lvlText w:val="%1."/>
      <w:lvlJc w:val="left"/>
      <w:pPr>
        <w:ind w:left="142" w:firstLine="0"/>
      </w:pPr>
      <w:rPr>
        <w:rFonts w:ascii="Arial" w:eastAsia="Arial" w:hAnsi="Arial" w:cs="Arial" w:hint="default"/>
        <w:b/>
        <w:i w:val="0"/>
        <w:strike w:val="0"/>
        <w:dstrike w:val="0"/>
        <w:color w:val="000000"/>
        <w:sz w:val="18"/>
        <w:szCs w:val="18"/>
        <w:u w:val="none" w:color="000000"/>
        <w:vertAlign w:val="baseline"/>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
    <w:nsid w:val="3DDC74C6"/>
    <w:multiLevelType w:val="hybridMultilevel"/>
    <w:tmpl w:val="9D10FD84"/>
    <w:lvl w:ilvl="0" w:tplc="5BEAB3C8">
      <w:start w:val="15"/>
      <w:numFmt w:val="decimal"/>
      <w:lvlText w:val="%1."/>
      <w:lvlJc w:val="left"/>
      <w:pPr>
        <w:ind w:left="502" w:hanging="360"/>
      </w:pPr>
      <w:rPr>
        <w:rFonts w:ascii="Arial" w:hAnsi="Arial" w:cs="Arial" w:hint="default"/>
        <w:b/>
        <w:sz w:val="18"/>
        <w:szCs w:val="1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7930089E"/>
    <w:multiLevelType w:val="hybridMultilevel"/>
    <w:tmpl w:val="DACC605A"/>
    <w:lvl w:ilvl="0" w:tplc="5442ED52">
      <w:start w:val="1"/>
      <w:numFmt w:val="decimal"/>
      <w:lvlText w:val="%1."/>
      <w:lvlJc w:val="left"/>
      <w:pPr>
        <w:ind w:left="142" w:firstLine="0"/>
      </w:pPr>
      <w:rPr>
        <w:rFonts w:ascii="Times New Roman" w:eastAsia="Arial" w:hAnsi="Times New Roman" w:cs="Times New Roman" w:hint="default"/>
        <w:b/>
        <w:i w:val="0"/>
        <w:strike w:val="0"/>
        <w:dstrike w:val="0"/>
        <w:color w:val="000000"/>
        <w:sz w:val="21"/>
        <w:szCs w:val="21"/>
        <w:u w:val="none" w:color="000000"/>
        <w:vertAlign w:val="baseline"/>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NRh1GPHkAnXY0Ab8xh4sXzGHHZw=" w:salt="MyU2npskwQsms8BUc5sit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FE"/>
    <w:rsid w:val="0000140A"/>
    <w:rsid w:val="0001414A"/>
    <w:rsid w:val="000144D0"/>
    <w:rsid w:val="00025ECC"/>
    <w:rsid w:val="0003710B"/>
    <w:rsid w:val="00037E5B"/>
    <w:rsid w:val="00046601"/>
    <w:rsid w:val="00086131"/>
    <w:rsid w:val="000947AB"/>
    <w:rsid w:val="000952D7"/>
    <w:rsid w:val="00097A81"/>
    <w:rsid w:val="000A3F2C"/>
    <w:rsid w:val="000A7D36"/>
    <w:rsid w:val="000B09AC"/>
    <w:rsid w:val="000C21E3"/>
    <w:rsid w:val="000D4E43"/>
    <w:rsid w:val="000D7ADA"/>
    <w:rsid w:val="000F183E"/>
    <w:rsid w:val="00106AD5"/>
    <w:rsid w:val="00123991"/>
    <w:rsid w:val="00130D9B"/>
    <w:rsid w:val="00133A1B"/>
    <w:rsid w:val="00154CC0"/>
    <w:rsid w:val="00160BD5"/>
    <w:rsid w:val="001657FF"/>
    <w:rsid w:val="00181D39"/>
    <w:rsid w:val="00191B3F"/>
    <w:rsid w:val="001A7C1E"/>
    <w:rsid w:val="001B6FCE"/>
    <w:rsid w:val="001E462D"/>
    <w:rsid w:val="001F5DE2"/>
    <w:rsid w:val="0020271E"/>
    <w:rsid w:val="00205394"/>
    <w:rsid w:val="00207B45"/>
    <w:rsid w:val="00213EE3"/>
    <w:rsid w:val="0024638F"/>
    <w:rsid w:val="00252229"/>
    <w:rsid w:val="00256F1F"/>
    <w:rsid w:val="00260028"/>
    <w:rsid w:val="00263B15"/>
    <w:rsid w:val="00276891"/>
    <w:rsid w:val="0028577D"/>
    <w:rsid w:val="0029712C"/>
    <w:rsid w:val="002A0545"/>
    <w:rsid w:val="002B5B5A"/>
    <w:rsid w:val="002D7DFC"/>
    <w:rsid w:val="002E09C2"/>
    <w:rsid w:val="002F4145"/>
    <w:rsid w:val="00305D3D"/>
    <w:rsid w:val="00311B6A"/>
    <w:rsid w:val="003140D0"/>
    <w:rsid w:val="00351D21"/>
    <w:rsid w:val="00375FE1"/>
    <w:rsid w:val="003A6972"/>
    <w:rsid w:val="003B0880"/>
    <w:rsid w:val="003C2B71"/>
    <w:rsid w:val="003C4814"/>
    <w:rsid w:val="003E48A3"/>
    <w:rsid w:val="003F3FE6"/>
    <w:rsid w:val="0041160B"/>
    <w:rsid w:val="0042050B"/>
    <w:rsid w:val="00422F66"/>
    <w:rsid w:val="0043783F"/>
    <w:rsid w:val="00437C33"/>
    <w:rsid w:val="00471C14"/>
    <w:rsid w:val="00494FB1"/>
    <w:rsid w:val="0049528F"/>
    <w:rsid w:val="00497E91"/>
    <w:rsid w:val="004A2FB1"/>
    <w:rsid w:val="004A79CE"/>
    <w:rsid w:val="004B6C73"/>
    <w:rsid w:val="004D451E"/>
    <w:rsid w:val="004E6E5C"/>
    <w:rsid w:val="004F6200"/>
    <w:rsid w:val="00505F1C"/>
    <w:rsid w:val="00532743"/>
    <w:rsid w:val="00541233"/>
    <w:rsid w:val="00551F03"/>
    <w:rsid w:val="005520D3"/>
    <w:rsid w:val="005669EA"/>
    <w:rsid w:val="0057017D"/>
    <w:rsid w:val="00583509"/>
    <w:rsid w:val="005865A8"/>
    <w:rsid w:val="00591974"/>
    <w:rsid w:val="00592C81"/>
    <w:rsid w:val="005A066A"/>
    <w:rsid w:val="005F1E84"/>
    <w:rsid w:val="00615713"/>
    <w:rsid w:val="00615DD4"/>
    <w:rsid w:val="00620250"/>
    <w:rsid w:val="0062167A"/>
    <w:rsid w:val="00627232"/>
    <w:rsid w:val="00627525"/>
    <w:rsid w:val="00630284"/>
    <w:rsid w:val="00633D10"/>
    <w:rsid w:val="00634D14"/>
    <w:rsid w:val="00664588"/>
    <w:rsid w:val="00665060"/>
    <w:rsid w:val="00674F7C"/>
    <w:rsid w:val="006828F3"/>
    <w:rsid w:val="00687217"/>
    <w:rsid w:val="00690DA3"/>
    <w:rsid w:val="006A1216"/>
    <w:rsid w:val="006A5B63"/>
    <w:rsid w:val="006C635F"/>
    <w:rsid w:val="006F64A1"/>
    <w:rsid w:val="0072302F"/>
    <w:rsid w:val="0073707C"/>
    <w:rsid w:val="00746FC3"/>
    <w:rsid w:val="00752953"/>
    <w:rsid w:val="00752FF6"/>
    <w:rsid w:val="00753347"/>
    <w:rsid w:val="007577D0"/>
    <w:rsid w:val="007623BE"/>
    <w:rsid w:val="00763DC8"/>
    <w:rsid w:val="00770D54"/>
    <w:rsid w:val="007751D7"/>
    <w:rsid w:val="00792B09"/>
    <w:rsid w:val="007C56FC"/>
    <w:rsid w:val="007C6895"/>
    <w:rsid w:val="007D118F"/>
    <w:rsid w:val="007D2A17"/>
    <w:rsid w:val="007E3DC5"/>
    <w:rsid w:val="007F1B28"/>
    <w:rsid w:val="008202E6"/>
    <w:rsid w:val="00820C82"/>
    <w:rsid w:val="00821B64"/>
    <w:rsid w:val="00834EB7"/>
    <w:rsid w:val="00846AD2"/>
    <w:rsid w:val="00870680"/>
    <w:rsid w:val="00875C92"/>
    <w:rsid w:val="0088514C"/>
    <w:rsid w:val="008973E6"/>
    <w:rsid w:val="008A3DAA"/>
    <w:rsid w:val="008B0D61"/>
    <w:rsid w:val="008B2341"/>
    <w:rsid w:val="008B5A95"/>
    <w:rsid w:val="008C5505"/>
    <w:rsid w:val="008D2AAD"/>
    <w:rsid w:val="008D622E"/>
    <w:rsid w:val="00907DB4"/>
    <w:rsid w:val="009124DB"/>
    <w:rsid w:val="00951C96"/>
    <w:rsid w:val="0096076F"/>
    <w:rsid w:val="009C57E5"/>
    <w:rsid w:val="009D3507"/>
    <w:rsid w:val="009D6FC3"/>
    <w:rsid w:val="009F3C01"/>
    <w:rsid w:val="009F4A15"/>
    <w:rsid w:val="009F6492"/>
    <w:rsid w:val="009F6C85"/>
    <w:rsid w:val="009F70C7"/>
    <w:rsid w:val="00A06E1A"/>
    <w:rsid w:val="00A17C50"/>
    <w:rsid w:val="00A20077"/>
    <w:rsid w:val="00A271F9"/>
    <w:rsid w:val="00A42A0F"/>
    <w:rsid w:val="00A817BB"/>
    <w:rsid w:val="00A90200"/>
    <w:rsid w:val="00A91C7A"/>
    <w:rsid w:val="00A97619"/>
    <w:rsid w:val="00AB31AD"/>
    <w:rsid w:val="00AB4823"/>
    <w:rsid w:val="00AB5C14"/>
    <w:rsid w:val="00AC64BA"/>
    <w:rsid w:val="00AE64FE"/>
    <w:rsid w:val="00AF0468"/>
    <w:rsid w:val="00B10C87"/>
    <w:rsid w:val="00B15D64"/>
    <w:rsid w:val="00B20A96"/>
    <w:rsid w:val="00B3045B"/>
    <w:rsid w:val="00B36516"/>
    <w:rsid w:val="00B41048"/>
    <w:rsid w:val="00B433A0"/>
    <w:rsid w:val="00B4797C"/>
    <w:rsid w:val="00B75C0F"/>
    <w:rsid w:val="00B87EA2"/>
    <w:rsid w:val="00B91444"/>
    <w:rsid w:val="00BB14EA"/>
    <w:rsid w:val="00BB5430"/>
    <w:rsid w:val="00BB72DF"/>
    <w:rsid w:val="00BD0F43"/>
    <w:rsid w:val="00BD309A"/>
    <w:rsid w:val="00BE5391"/>
    <w:rsid w:val="00BF325A"/>
    <w:rsid w:val="00C015D9"/>
    <w:rsid w:val="00C1506F"/>
    <w:rsid w:val="00C16A5B"/>
    <w:rsid w:val="00C31CEC"/>
    <w:rsid w:val="00C35E26"/>
    <w:rsid w:val="00C36389"/>
    <w:rsid w:val="00C36922"/>
    <w:rsid w:val="00C37505"/>
    <w:rsid w:val="00C466A2"/>
    <w:rsid w:val="00C60537"/>
    <w:rsid w:val="00C60750"/>
    <w:rsid w:val="00C90A5E"/>
    <w:rsid w:val="00C935DE"/>
    <w:rsid w:val="00C935EC"/>
    <w:rsid w:val="00CA0BBE"/>
    <w:rsid w:val="00CB0838"/>
    <w:rsid w:val="00CD7DEB"/>
    <w:rsid w:val="00CE554E"/>
    <w:rsid w:val="00CE723E"/>
    <w:rsid w:val="00CF07FD"/>
    <w:rsid w:val="00D07E95"/>
    <w:rsid w:val="00D10864"/>
    <w:rsid w:val="00D55BD0"/>
    <w:rsid w:val="00D65179"/>
    <w:rsid w:val="00D71F89"/>
    <w:rsid w:val="00D72724"/>
    <w:rsid w:val="00D769A7"/>
    <w:rsid w:val="00D77F1F"/>
    <w:rsid w:val="00D806D5"/>
    <w:rsid w:val="00D85734"/>
    <w:rsid w:val="00DA61E0"/>
    <w:rsid w:val="00DB22FD"/>
    <w:rsid w:val="00DB3DC0"/>
    <w:rsid w:val="00DC1A99"/>
    <w:rsid w:val="00DC1BF9"/>
    <w:rsid w:val="00DD654B"/>
    <w:rsid w:val="00DE5363"/>
    <w:rsid w:val="00DF0CA5"/>
    <w:rsid w:val="00E1749F"/>
    <w:rsid w:val="00E211AD"/>
    <w:rsid w:val="00E311A4"/>
    <w:rsid w:val="00E31DF3"/>
    <w:rsid w:val="00E36ACC"/>
    <w:rsid w:val="00E46602"/>
    <w:rsid w:val="00E46B1D"/>
    <w:rsid w:val="00E51DDD"/>
    <w:rsid w:val="00E57A62"/>
    <w:rsid w:val="00E61D1F"/>
    <w:rsid w:val="00E66321"/>
    <w:rsid w:val="00E74263"/>
    <w:rsid w:val="00E94CB2"/>
    <w:rsid w:val="00EA2F5A"/>
    <w:rsid w:val="00ED6E0D"/>
    <w:rsid w:val="00ED7994"/>
    <w:rsid w:val="00EF0062"/>
    <w:rsid w:val="00F0095E"/>
    <w:rsid w:val="00F06218"/>
    <w:rsid w:val="00F075FE"/>
    <w:rsid w:val="00F1556B"/>
    <w:rsid w:val="00F17C4F"/>
    <w:rsid w:val="00F219AA"/>
    <w:rsid w:val="00F21A77"/>
    <w:rsid w:val="00F24BF7"/>
    <w:rsid w:val="00F25D36"/>
    <w:rsid w:val="00F36445"/>
    <w:rsid w:val="00F412FF"/>
    <w:rsid w:val="00F445AF"/>
    <w:rsid w:val="00F4715F"/>
    <w:rsid w:val="00F5252F"/>
    <w:rsid w:val="00F5697E"/>
    <w:rsid w:val="00F623A3"/>
    <w:rsid w:val="00F7334F"/>
    <w:rsid w:val="00F76C11"/>
    <w:rsid w:val="00F81C47"/>
    <w:rsid w:val="00F94D71"/>
    <w:rsid w:val="00F95B7F"/>
    <w:rsid w:val="00FA1A8A"/>
    <w:rsid w:val="00FC137E"/>
    <w:rsid w:val="00FD0941"/>
    <w:rsid w:val="00FF3766"/>
    <w:rsid w:val="00FF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FE"/>
    <w:pPr>
      <w:spacing w:after="0"/>
      <w:ind w:left="-567"/>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4FE"/>
    <w:rPr>
      <w:color w:val="0000FF" w:themeColor="hyperlink"/>
      <w:u w:val="single"/>
    </w:rPr>
  </w:style>
  <w:style w:type="table" w:styleId="a4">
    <w:name w:val="Table Grid"/>
    <w:basedOn w:val="a1"/>
    <w:uiPriority w:val="59"/>
    <w:rsid w:val="00AE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E64FE"/>
    <w:pPr>
      <w:ind w:left="720"/>
      <w:contextualSpacing/>
    </w:pPr>
  </w:style>
  <w:style w:type="paragraph" w:styleId="a6">
    <w:name w:val="header"/>
    <w:basedOn w:val="a"/>
    <w:link w:val="a7"/>
    <w:uiPriority w:val="99"/>
    <w:unhideWhenUsed/>
    <w:rsid w:val="00AE64FE"/>
    <w:pPr>
      <w:tabs>
        <w:tab w:val="center" w:pos="4677"/>
        <w:tab w:val="right" w:pos="9355"/>
      </w:tabs>
      <w:spacing w:line="240" w:lineRule="auto"/>
    </w:pPr>
  </w:style>
  <w:style w:type="character" w:customStyle="1" w:styleId="a7">
    <w:name w:val="Верхний колонтитул Знак"/>
    <w:basedOn w:val="a0"/>
    <w:link w:val="a6"/>
    <w:uiPriority w:val="99"/>
    <w:rsid w:val="00AE64FE"/>
    <w:rPr>
      <w:rFonts w:ascii="Calibri" w:eastAsia="Calibri" w:hAnsi="Calibri" w:cs="Times New Roman"/>
    </w:rPr>
  </w:style>
  <w:style w:type="paragraph" w:styleId="a8">
    <w:name w:val="footer"/>
    <w:basedOn w:val="a"/>
    <w:link w:val="a9"/>
    <w:uiPriority w:val="99"/>
    <w:unhideWhenUsed/>
    <w:rsid w:val="00AE64FE"/>
    <w:pPr>
      <w:tabs>
        <w:tab w:val="center" w:pos="4677"/>
        <w:tab w:val="right" w:pos="9355"/>
      </w:tabs>
      <w:spacing w:line="240" w:lineRule="auto"/>
    </w:pPr>
  </w:style>
  <w:style w:type="character" w:customStyle="1" w:styleId="a9">
    <w:name w:val="Нижний колонтитул Знак"/>
    <w:basedOn w:val="a0"/>
    <w:link w:val="a8"/>
    <w:uiPriority w:val="99"/>
    <w:rsid w:val="00AE64FE"/>
    <w:rPr>
      <w:rFonts w:ascii="Calibri" w:eastAsia="Calibri" w:hAnsi="Calibri" w:cs="Times New Roman"/>
    </w:rPr>
  </w:style>
  <w:style w:type="paragraph" w:styleId="aa">
    <w:name w:val="Balloon Text"/>
    <w:basedOn w:val="a"/>
    <w:link w:val="ab"/>
    <w:uiPriority w:val="99"/>
    <w:semiHidden/>
    <w:unhideWhenUsed/>
    <w:rsid w:val="00AE64F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64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FE"/>
    <w:pPr>
      <w:spacing w:after="0"/>
      <w:ind w:left="-567"/>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4FE"/>
    <w:rPr>
      <w:color w:val="0000FF" w:themeColor="hyperlink"/>
      <w:u w:val="single"/>
    </w:rPr>
  </w:style>
  <w:style w:type="table" w:styleId="a4">
    <w:name w:val="Table Grid"/>
    <w:basedOn w:val="a1"/>
    <w:uiPriority w:val="59"/>
    <w:rsid w:val="00AE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E64FE"/>
    <w:pPr>
      <w:ind w:left="720"/>
      <w:contextualSpacing/>
    </w:pPr>
  </w:style>
  <w:style w:type="paragraph" w:styleId="a6">
    <w:name w:val="header"/>
    <w:basedOn w:val="a"/>
    <w:link w:val="a7"/>
    <w:uiPriority w:val="99"/>
    <w:unhideWhenUsed/>
    <w:rsid w:val="00AE64FE"/>
    <w:pPr>
      <w:tabs>
        <w:tab w:val="center" w:pos="4677"/>
        <w:tab w:val="right" w:pos="9355"/>
      </w:tabs>
      <w:spacing w:line="240" w:lineRule="auto"/>
    </w:pPr>
  </w:style>
  <w:style w:type="character" w:customStyle="1" w:styleId="a7">
    <w:name w:val="Верхний колонтитул Знак"/>
    <w:basedOn w:val="a0"/>
    <w:link w:val="a6"/>
    <w:uiPriority w:val="99"/>
    <w:rsid w:val="00AE64FE"/>
    <w:rPr>
      <w:rFonts w:ascii="Calibri" w:eastAsia="Calibri" w:hAnsi="Calibri" w:cs="Times New Roman"/>
    </w:rPr>
  </w:style>
  <w:style w:type="paragraph" w:styleId="a8">
    <w:name w:val="footer"/>
    <w:basedOn w:val="a"/>
    <w:link w:val="a9"/>
    <w:uiPriority w:val="99"/>
    <w:unhideWhenUsed/>
    <w:rsid w:val="00AE64FE"/>
    <w:pPr>
      <w:tabs>
        <w:tab w:val="center" w:pos="4677"/>
        <w:tab w:val="right" w:pos="9355"/>
      </w:tabs>
      <w:spacing w:line="240" w:lineRule="auto"/>
    </w:pPr>
  </w:style>
  <w:style w:type="character" w:customStyle="1" w:styleId="a9">
    <w:name w:val="Нижний колонтитул Знак"/>
    <w:basedOn w:val="a0"/>
    <w:link w:val="a8"/>
    <w:uiPriority w:val="99"/>
    <w:rsid w:val="00AE64FE"/>
    <w:rPr>
      <w:rFonts w:ascii="Calibri" w:eastAsia="Calibri" w:hAnsi="Calibri" w:cs="Times New Roman"/>
    </w:rPr>
  </w:style>
  <w:style w:type="paragraph" w:styleId="aa">
    <w:name w:val="Balloon Text"/>
    <w:basedOn w:val="a"/>
    <w:link w:val="ab"/>
    <w:uiPriority w:val="99"/>
    <w:semiHidden/>
    <w:unhideWhenUsed/>
    <w:rsid w:val="00AE64F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64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5665</Words>
  <Characters>32297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Alina</dc:creator>
  <cp:lastModifiedBy>Митюшина Мария Александровна</cp:lastModifiedBy>
  <cp:revision>24</cp:revision>
  <dcterms:created xsi:type="dcterms:W3CDTF">2017-04-27T18:03:00Z</dcterms:created>
  <dcterms:modified xsi:type="dcterms:W3CDTF">2018-10-11T11:31:00Z</dcterms:modified>
</cp:coreProperties>
</file>